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3049A" w14:textId="77777777" w:rsidR="00A40931" w:rsidRDefault="00A40931">
      <w:pPr>
        <w:spacing w:line="276" w:lineRule="auto"/>
        <w:rPr>
          <w:b/>
          <w:color w:val="FF0000"/>
        </w:rPr>
      </w:pPr>
    </w:p>
    <w:p w14:paraId="0FF45CB1" w14:textId="77777777" w:rsidR="00A40931" w:rsidRDefault="00A40931">
      <w:pPr>
        <w:spacing w:line="276" w:lineRule="auto"/>
        <w:rPr>
          <w:b/>
          <w:color w:val="FF0000"/>
        </w:rPr>
      </w:pPr>
    </w:p>
    <w:p w14:paraId="2C94B67D" w14:textId="77777777" w:rsidR="00A40931" w:rsidRDefault="00A40931">
      <w:pPr>
        <w:spacing w:line="276" w:lineRule="auto"/>
        <w:rPr>
          <w:b/>
          <w:color w:val="FF0000"/>
        </w:rPr>
      </w:pPr>
    </w:p>
    <w:p w14:paraId="60299820" w14:textId="77777777" w:rsidR="00A40931" w:rsidRDefault="00A40931">
      <w:pPr>
        <w:spacing w:line="276" w:lineRule="auto"/>
        <w:rPr>
          <w:b/>
          <w:color w:val="FF0000"/>
        </w:rPr>
      </w:pPr>
    </w:p>
    <w:p w14:paraId="36BDDEBD" w14:textId="77777777" w:rsidR="00A40931" w:rsidRDefault="00A40931">
      <w:pPr>
        <w:spacing w:line="276" w:lineRule="auto"/>
        <w:rPr>
          <w:b/>
          <w:color w:val="FF0000"/>
        </w:rPr>
      </w:pPr>
    </w:p>
    <w:p w14:paraId="2D16CDB5" w14:textId="77777777" w:rsidR="00A40931" w:rsidRDefault="00A40931">
      <w:pPr>
        <w:spacing w:line="276" w:lineRule="auto"/>
        <w:rPr>
          <w:b/>
          <w:color w:val="FF0000"/>
        </w:rPr>
      </w:pPr>
    </w:p>
    <w:p w14:paraId="5EDE5272" w14:textId="77777777" w:rsidR="00A40931" w:rsidRDefault="00A40931">
      <w:pPr>
        <w:spacing w:line="276" w:lineRule="auto"/>
        <w:rPr>
          <w:b/>
          <w:color w:val="FF0000"/>
        </w:rPr>
      </w:pPr>
    </w:p>
    <w:p w14:paraId="120DDA60" w14:textId="77777777" w:rsidR="00A40931" w:rsidRDefault="00A40931">
      <w:pPr>
        <w:spacing w:line="276" w:lineRule="auto"/>
        <w:rPr>
          <w:b/>
        </w:rPr>
      </w:pPr>
    </w:p>
    <w:p w14:paraId="387F4B20" w14:textId="77777777" w:rsidR="00A40931" w:rsidRDefault="00A40931">
      <w:pPr>
        <w:spacing w:line="276" w:lineRule="auto"/>
        <w:rPr>
          <w:b/>
        </w:rPr>
      </w:pPr>
    </w:p>
    <w:p w14:paraId="0671D196" w14:textId="77777777" w:rsidR="00A40931" w:rsidRDefault="00A40931">
      <w:pPr>
        <w:spacing w:line="276" w:lineRule="auto"/>
        <w:rPr>
          <w:b/>
        </w:rPr>
      </w:pPr>
    </w:p>
    <w:p w14:paraId="57821B7E" w14:textId="77777777" w:rsidR="00A40931" w:rsidRDefault="00AE1ABB">
      <w:pPr>
        <w:spacing w:line="276" w:lineRule="auto"/>
        <w:jc w:val="center"/>
        <w:rPr>
          <w:b/>
        </w:rPr>
      </w:pPr>
      <w:r>
        <w:rPr>
          <w:b/>
          <w:noProof/>
          <w:lang w:bidi="pt-PT"/>
        </w:rPr>
        <w:drawing>
          <wp:inline distT="114300" distB="114300" distL="114300" distR="114300" wp14:anchorId="4D143394" wp14:editId="1B0B81F2">
            <wp:extent cx="2543175" cy="1504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43175" cy="1504950"/>
                    </a:xfrm>
                    <a:prstGeom prst="rect">
                      <a:avLst/>
                    </a:prstGeom>
                    <a:ln/>
                  </pic:spPr>
                </pic:pic>
              </a:graphicData>
            </a:graphic>
          </wp:inline>
        </w:drawing>
      </w:r>
    </w:p>
    <w:p w14:paraId="35658CDC" w14:textId="77777777" w:rsidR="00A40931" w:rsidRDefault="00A40931">
      <w:pPr>
        <w:spacing w:line="276" w:lineRule="auto"/>
        <w:rPr>
          <w:b/>
          <w:color w:val="980000"/>
          <w:sz w:val="96"/>
          <w:szCs w:val="96"/>
        </w:rPr>
      </w:pPr>
    </w:p>
    <w:p w14:paraId="13D9B6D5" w14:textId="77777777" w:rsidR="00A40931" w:rsidRPr="005A6D6A" w:rsidRDefault="00AE1ABB">
      <w:pPr>
        <w:spacing w:line="276" w:lineRule="auto"/>
        <w:jc w:val="center"/>
        <w:rPr>
          <w:b/>
          <w:color w:val="980000"/>
          <w:sz w:val="88"/>
          <w:szCs w:val="88"/>
        </w:rPr>
      </w:pPr>
      <w:r w:rsidRPr="005A6D6A">
        <w:rPr>
          <w:b/>
          <w:color w:val="980000"/>
          <w:sz w:val="88"/>
          <w:szCs w:val="88"/>
          <w:lang w:bidi="pt-PT"/>
        </w:rPr>
        <w:t>DEPP - Orientações de Saúde e Segurança para o</w:t>
      </w:r>
    </w:p>
    <w:p w14:paraId="2247B3DE" w14:textId="77777777" w:rsidR="00A40931" w:rsidRPr="005A6D6A" w:rsidRDefault="00AE1ABB">
      <w:pPr>
        <w:spacing w:line="276" w:lineRule="auto"/>
        <w:jc w:val="center"/>
        <w:rPr>
          <w:b/>
          <w:i/>
          <w:sz w:val="88"/>
          <w:szCs w:val="88"/>
        </w:rPr>
      </w:pPr>
      <w:r w:rsidRPr="005A6D6A">
        <w:rPr>
          <w:b/>
          <w:color w:val="980000"/>
          <w:sz w:val="88"/>
          <w:szCs w:val="88"/>
          <w:lang w:bidi="pt-PT"/>
        </w:rPr>
        <w:t>Ano letivo 2022-23</w:t>
      </w:r>
    </w:p>
    <w:p w14:paraId="33CBFEC0" w14:textId="77777777" w:rsidR="00A40931" w:rsidRDefault="00A40931">
      <w:pPr>
        <w:spacing w:line="276" w:lineRule="auto"/>
        <w:rPr>
          <w:b/>
          <w:i/>
          <w:sz w:val="22"/>
          <w:szCs w:val="22"/>
        </w:rPr>
      </w:pPr>
    </w:p>
    <w:p w14:paraId="33F8E0F2" w14:textId="77777777" w:rsidR="00A40931" w:rsidRDefault="00A40931">
      <w:pPr>
        <w:spacing w:line="276" w:lineRule="auto"/>
        <w:rPr>
          <w:b/>
          <w:i/>
          <w:sz w:val="22"/>
          <w:szCs w:val="22"/>
        </w:rPr>
      </w:pPr>
    </w:p>
    <w:p w14:paraId="6DDA6B8B" w14:textId="77777777" w:rsidR="00A40931" w:rsidRDefault="00A40931">
      <w:pPr>
        <w:spacing w:line="276" w:lineRule="auto"/>
        <w:rPr>
          <w:b/>
          <w:i/>
          <w:sz w:val="22"/>
          <w:szCs w:val="22"/>
        </w:rPr>
      </w:pPr>
    </w:p>
    <w:p w14:paraId="6F5CA635" w14:textId="77777777" w:rsidR="00A40931" w:rsidRDefault="00A40931">
      <w:pPr>
        <w:spacing w:line="276" w:lineRule="auto"/>
        <w:rPr>
          <w:b/>
          <w:sz w:val="22"/>
          <w:szCs w:val="22"/>
        </w:rPr>
        <w:sectPr w:rsidR="00A40931">
          <w:headerReference w:type="default" r:id="rId8"/>
          <w:footerReference w:type="even" r:id="rId9"/>
          <w:footerReference w:type="default" r:id="rId10"/>
          <w:pgSz w:w="12240" w:h="15840"/>
          <w:pgMar w:top="1008" w:right="1008" w:bottom="1008" w:left="1008" w:header="720" w:footer="720" w:gutter="0"/>
          <w:pgNumType w:start="1"/>
          <w:cols w:space="720"/>
          <w:titlePg/>
        </w:sectPr>
      </w:pPr>
    </w:p>
    <w:p w14:paraId="5061430D" w14:textId="77777777" w:rsidR="00A40931" w:rsidRDefault="00AE1ABB">
      <w:pPr>
        <w:jc w:val="center"/>
        <w:rPr>
          <w:b/>
          <w:color w:val="1D5284"/>
          <w:sz w:val="28"/>
          <w:szCs w:val="28"/>
        </w:rPr>
      </w:pPr>
      <w:r>
        <w:rPr>
          <w:b/>
          <w:color w:val="1D5284"/>
          <w:sz w:val="28"/>
          <w:lang w:bidi="pt-PT"/>
        </w:rPr>
        <w:lastRenderedPageBreak/>
        <w:t>DEPP - Orientações de Saúde e Segurança para o</w:t>
      </w:r>
    </w:p>
    <w:p w14:paraId="3E56370B" w14:textId="77777777" w:rsidR="00A40931" w:rsidRDefault="00AE1ABB">
      <w:pPr>
        <w:jc w:val="center"/>
        <w:rPr>
          <w:color w:val="C00000"/>
          <w:sz w:val="22"/>
          <w:szCs w:val="22"/>
        </w:rPr>
      </w:pPr>
      <w:r>
        <w:rPr>
          <w:b/>
          <w:color w:val="1D5284"/>
          <w:sz w:val="28"/>
          <w:lang w:bidi="pt-PT"/>
        </w:rPr>
        <w:t>Ano letivo 2022-23</w:t>
      </w:r>
    </w:p>
    <w:p w14:paraId="0C8A7B5D" w14:textId="77777777" w:rsidR="00A40931" w:rsidRDefault="00AE1ABB">
      <w:pPr>
        <w:rPr>
          <w:b/>
          <w:color w:val="1D5284"/>
          <w:sz w:val="22"/>
          <w:szCs w:val="22"/>
        </w:rPr>
      </w:pPr>
      <w:r>
        <w:rPr>
          <w:b/>
          <w:color w:val="1D5284"/>
          <w:sz w:val="28"/>
          <w:lang w:bidi="pt-PT"/>
        </w:rPr>
        <w:t>Visão Geral</w:t>
      </w:r>
    </w:p>
    <w:p w14:paraId="37AB5482" w14:textId="77777777" w:rsidR="00A40931" w:rsidRDefault="00AE1ABB" w:rsidP="00C60869">
      <w:pPr>
        <w:jc w:val="both"/>
        <w:rPr>
          <w:sz w:val="22"/>
          <w:szCs w:val="22"/>
        </w:rPr>
      </w:pPr>
      <w:r>
        <w:rPr>
          <w:sz w:val="22"/>
          <w:lang w:bidi="pt-PT"/>
        </w:rPr>
        <w:t xml:space="preserve">O objetivo deste documento é mostrar em linhas gerais as orientações de saúde e segurança do Sistema das Escolas Públicas de Providence (DEPP) para o ano letivo de 2022 e 2023. Esse documento baseia-se nos </w:t>
      </w:r>
      <w:hyperlink r:id="rId11">
        <w:r>
          <w:rPr>
            <w:color w:val="1155CC"/>
            <w:sz w:val="22"/>
            <w:u w:val="single"/>
            <w:lang w:bidi="pt-PT"/>
          </w:rPr>
          <w:t>Protocolos de Resposta a Surtos</w:t>
        </w:r>
      </w:hyperlink>
      <w:r>
        <w:rPr>
          <w:sz w:val="22"/>
          <w:lang w:bidi="pt-PT"/>
        </w:rPr>
        <w:t xml:space="preserve"> fornecidos pelo Departamento de Saúde de Rhode Island (RIDOH); as orientações neste documento não têm a intenção de entrar em conflito ou suplantar as orientações fornecidas pelo Departamento de Saúde (RIDOH), mas sim fornecer mais detalhes sobre políticas específicas do DEPP. Esse documento será atualizado à medida que orientações externas ou políticas internas sejam ajustadas. Continuaremos a monitorar as condições de saúde pública e recomendações dos Centros de Controle e Prevenção de Doenças (CDC) e atualizar essas orientações apropriadamente. Orientações adicionais serão fornecidas aos diretores, supervisores e membros da equipe.</w:t>
      </w:r>
    </w:p>
    <w:p w14:paraId="42D5E222" w14:textId="77777777" w:rsidR="00A40931" w:rsidRDefault="00AE1ABB">
      <w:pPr>
        <w:tabs>
          <w:tab w:val="right" w:pos="9270"/>
        </w:tabs>
        <w:rPr>
          <w:b/>
          <w:sz w:val="22"/>
          <w:szCs w:val="22"/>
        </w:rPr>
      </w:pPr>
      <w:r>
        <w:rPr>
          <w:b/>
          <w:sz w:val="22"/>
          <w:u w:val="single"/>
          <w:lang w:bidi="pt-PT"/>
        </w:rPr>
        <w:tab/>
        <w:t>Página nº</w:t>
      </w:r>
    </w:p>
    <w:sdt>
      <w:sdtPr>
        <w:id w:val="-83696299"/>
        <w:docPartObj>
          <w:docPartGallery w:val="Table of Contents"/>
          <w:docPartUnique/>
        </w:docPartObj>
      </w:sdtPr>
      <w:sdtEndPr>
        <w:rPr>
          <w:noProof w:val="0"/>
          <w:lang w:bidi="ar-SA"/>
        </w:rPr>
      </w:sdtEndPr>
      <w:sdtContent>
        <w:p w14:paraId="64C1539B" w14:textId="64BB41A4" w:rsidR="00C60869" w:rsidRDefault="00AE1ABB" w:rsidP="00C60869">
          <w:pPr>
            <w:pStyle w:val="TOC1"/>
          </w:pPr>
          <w:r>
            <w:fldChar w:fldCharType="begin"/>
          </w:r>
          <w:r>
            <w:instrText xml:space="preserve"> TOC \h \u \z </w:instrText>
          </w:r>
          <w:r>
            <w:fldChar w:fldCharType="separate"/>
          </w:r>
          <w:hyperlink w:anchor="_Toc113279890" w:history="1">
            <w:r w:rsidR="00C60869" w:rsidRPr="00C60869">
              <w:rPr>
                <w:rStyle w:val="Hyperlink"/>
                <w:b/>
                <w:bCs/>
              </w:rPr>
              <w:t>A</w:t>
            </w:r>
            <w:r w:rsidR="00C60869" w:rsidRPr="00054355">
              <w:rPr>
                <w:rStyle w:val="Hyperlink"/>
              </w:rPr>
              <w:t xml:space="preserve">. </w:t>
            </w:r>
            <w:r w:rsidR="00C60869" w:rsidRPr="00C60869">
              <w:rPr>
                <w:rStyle w:val="Hyperlink"/>
                <w:b/>
                <w:bCs/>
              </w:rPr>
              <w:t>Limpeza, Desinfecção e Higienização das Mãos</w:t>
            </w:r>
            <w:r w:rsidR="00C60869">
              <w:rPr>
                <w:webHidden/>
              </w:rPr>
              <w:tab/>
            </w:r>
            <w:r w:rsidR="00C60869">
              <w:rPr>
                <w:webHidden/>
              </w:rPr>
              <w:fldChar w:fldCharType="begin"/>
            </w:r>
            <w:r w:rsidR="00C60869">
              <w:rPr>
                <w:webHidden/>
              </w:rPr>
              <w:instrText xml:space="preserve"> PAGEREF _Toc113279890 \h </w:instrText>
            </w:r>
            <w:r w:rsidR="00C60869">
              <w:rPr>
                <w:webHidden/>
              </w:rPr>
            </w:r>
            <w:r w:rsidR="00C60869">
              <w:rPr>
                <w:webHidden/>
              </w:rPr>
              <w:fldChar w:fldCharType="separate"/>
            </w:r>
            <w:r w:rsidR="00620F5A">
              <w:rPr>
                <w:webHidden/>
              </w:rPr>
              <w:t>2</w:t>
            </w:r>
            <w:r w:rsidR="00C60869">
              <w:rPr>
                <w:webHidden/>
              </w:rPr>
              <w:fldChar w:fldCharType="end"/>
            </w:r>
          </w:hyperlink>
        </w:p>
        <w:p w14:paraId="67B1433D" w14:textId="50CC9234" w:rsidR="00C60869" w:rsidRDefault="00C60869">
          <w:pPr>
            <w:pStyle w:val="TOC2"/>
            <w:tabs>
              <w:tab w:val="right" w:pos="8900"/>
            </w:tabs>
            <w:rPr>
              <w:noProof/>
            </w:rPr>
          </w:pPr>
          <w:hyperlink w:anchor="_Toc113279891" w:history="1">
            <w:r w:rsidRPr="00054355">
              <w:rPr>
                <w:rStyle w:val="Hyperlink"/>
                <w:noProof/>
                <w:lang w:bidi="pt-PT"/>
              </w:rPr>
              <w:t>1. Protocolos de Limpeza</w:t>
            </w:r>
            <w:r>
              <w:rPr>
                <w:noProof/>
                <w:webHidden/>
              </w:rPr>
              <w:tab/>
            </w:r>
            <w:r>
              <w:rPr>
                <w:noProof/>
                <w:webHidden/>
              </w:rPr>
              <w:fldChar w:fldCharType="begin"/>
            </w:r>
            <w:r>
              <w:rPr>
                <w:noProof/>
                <w:webHidden/>
              </w:rPr>
              <w:instrText xml:space="preserve"> PAGEREF _Toc113279891 \h </w:instrText>
            </w:r>
            <w:r>
              <w:rPr>
                <w:noProof/>
                <w:webHidden/>
              </w:rPr>
            </w:r>
            <w:r>
              <w:rPr>
                <w:noProof/>
                <w:webHidden/>
              </w:rPr>
              <w:fldChar w:fldCharType="separate"/>
            </w:r>
            <w:r w:rsidR="00620F5A">
              <w:rPr>
                <w:noProof/>
                <w:webHidden/>
              </w:rPr>
              <w:t>2</w:t>
            </w:r>
            <w:r>
              <w:rPr>
                <w:noProof/>
                <w:webHidden/>
              </w:rPr>
              <w:fldChar w:fldCharType="end"/>
            </w:r>
          </w:hyperlink>
        </w:p>
        <w:p w14:paraId="166D6483" w14:textId="682410B5" w:rsidR="00C60869" w:rsidRPr="00C60869" w:rsidRDefault="00C60869" w:rsidP="00C60869">
          <w:pPr>
            <w:pStyle w:val="TOC1"/>
          </w:pPr>
          <w:hyperlink w:anchor="_Toc113279892" w:history="1">
            <w:r w:rsidRPr="00C60869">
              <w:rPr>
                <w:rStyle w:val="Hyperlink"/>
                <w:b/>
                <w:bCs/>
              </w:rPr>
              <w:t>B. Máscaras</w:t>
            </w:r>
            <w:r w:rsidRPr="00C60869">
              <w:rPr>
                <w:webHidden/>
              </w:rPr>
              <w:tab/>
            </w:r>
            <w:r w:rsidRPr="00C60869">
              <w:rPr>
                <w:webHidden/>
              </w:rPr>
              <w:fldChar w:fldCharType="begin"/>
            </w:r>
            <w:r w:rsidRPr="00C60869">
              <w:rPr>
                <w:webHidden/>
              </w:rPr>
              <w:instrText xml:space="preserve"> PAGEREF _Toc113279892 \h </w:instrText>
            </w:r>
            <w:r w:rsidRPr="00C60869">
              <w:rPr>
                <w:webHidden/>
              </w:rPr>
            </w:r>
            <w:r w:rsidRPr="00C60869">
              <w:rPr>
                <w:webHidden/>
              </w:rPr>
              <w:fldChar w:fldCharType="separate"/>
            </w:r>
            <w:r w:rsidR="00620F5A">
              <w:rPr>
                <w:webHidden/>
              </w:rPr>
              <w:t>2</w:t>
            </w:r>
            <w:r w:rsidRPr="00C60869">
              <w:rPr>
                <w:webHidden/>
              </w:rPr>
              <w:fldChar w:fldCharType="end"/>
            </w:r>
          </w:hyperlink>
        </w:p>
        <w:p w14:paraId="7DB5B7E6" w14:textId="3F013863" w:rsidR="00C60869" w:rsidRPr="00C60869" w:rsidRDefault="00C60869" w:rsidP="00C60869">
          <w:pPr>
            <w:pStyle w:val="TOC1"/>
          </w:pPr>
          <w:hyperlink w:anchor="_Toc113279893" w:history="1">
            <w:r w:rsidRPr="00C60869">
              <w:rPr>
                <w:rStyle w:val="Hyperlink"/>
                <w:b/>
                <w:bCs/>
              </w:rPr>
              <w:t>C. Análise de Sintomas</w:t>
            </w:r>
            <w:r w:rsidRPr="00C60869">
              <w:rPr>
                <w:webHidden/>
              </w:rPr>
              <w:tab/>
            </w:r>
            <w:r w:rsidRPr="00C60869">
              <w:rPr>
                <w:webHidden/>
              </w:rPr>
              <w:fldChar w:fldCharType="begin"/>
            </w:r>
            <w:r w:rsidRPr="00C60869">
              <w:rPr>
                <w:webHidden/>
              </w:rPr>
              <w:instrText xml:space="preserve"> PAGEREF _Toc113279893 \h </w:instrText>
            </w:r>
            <w:r w:rsidRPr="00C60869">
              <w:rPr>
                <w:webHidden/>
              </w:rPr>
            </w:r>
            <w:r w:rsidRPr="00C60869">
              <w:rPr>
                <w:webHidden/>
              </w:rPr>
              <w:fldChar w:fldCharType="separate"/>
            </w:r>
            <w:r w:rsidR="00620F5A">
              <w:rPr>
                <w:webHidden/>
              </w:rPr>
              <w:t>3</w:t>
            </w:r>
            <w:r w:rsidRPr="00C60869">
              <w:rPr>
                <w:webHidden/>
              </w:rPr>
              <w:fldChar w:fldCharType="end"/>
            </w:r>
          </w:hyperlink>
        </w:p>
        <w:p w14:paraId="3F5CE93E" w14:textId="358FC65F" w:rsidR="00C60869" w:rsidRPr="00C60869" w:rsidRDefault="00C60869" w:rsidP="00C60869">
          <w:pPr>
            <w:pStyle w:val="TOC1"/>
          </w:pPr>
          <w:hyperlink w:anchor="_Toc113279894" w:history="1">
            <w:r w:rsidRPr="00C60869">
              <w:rPr>
                <w:rStyle w:val="Hyperlink"/>
                <w:b/>
                <w:bCs/>
              </w:rPr>
              <w:t>D. Visitantes da Escola</w:t>
            </w:r>
            <w:r w:rsidRPr="00C60869">
              <w:rPr>
                <w:webHidden/>
              </w:rPr>
              <w:tab/>
            </w:r>
            <w:r w:rsidRPr="00C60869">
              <w:rPr>
                <w:webHidden/>
              </w:rPr>
              <w:fldChar w:fldCharType="begin"/>
            </w:r>
            <w:r w:rsidRPr="00C60869">
              <w:rPr>
                <w:webHidden/>
              </w:rPr>
              <w:instrText xml:space="preserve"> PAGEREF _Toc113279894 \h </w:instrText>
            </w:r>
            <w:r w:rsidRPr="00C60869">
              <w:rPr>
                <w:webHidden/>
              </w:rPr>
            </w:r>
            <w:r w:rsidRPr="00C60869">
              <w:rPr>
                <w:webHidden/>
              </w:rPr>
              <w:fldChar w:fldCharType="separate"/>
            </w:r>
            <w:r w:rsidR="00620F5A">
              <w:rPr>
                <w:webHidden/>
              </w:rPr>
              <w:t>3</w:t>
            </w:r>
            <w:r w:rsidRPr="00C60869">
              <w:rPr>
                <w:webHidden/>
              </w:rPr>
              <w:fldChar w:fldCharType="end"/>
            </w:r>
          </w:hyperlink>
        </w:p>
        <w:p w14:paraId="6A6CBE92" w14:textId="66570197" w:rsidR="00C60869" w:rsidRPr="00C60869" w:rsidRDefault="00C60869" w:rsidP="00C60869">
          <w:pPr>
            <w:pStyle w:val="TOC1"/>
          </w:pPr>
          <w:hyperlink w:anchor="_Toc113279895" w:history="1">
            <w:r w:rsidRPr="00C60869">
              <w:rPr>
                <w:rStyle w:val="Hyperlink"/>
                <w:b/>
                <w:bCs/>
              </w:rPr>
              <w:t>E. Esportes e Atletismo</w:t>
            </w:r>
            <w:r w:rsidRPr="00C60869">
              <w:rPr>
                <w:webHidden/>
              </w:rPr>
              <w:tab/>
            </w:r>
            <w:r w:rsidRPr="00C60869">
              <w:rPr>
                <w:webHidden/>
              </w:rPr>
              <w:fldChar w:fldCharType="begin"/>
            </w:r>
            <w:r w:rsidRPr="00C60869">
              <w:rPr>
                <w:webHidden/>
              </w:rPr>
              <w:instrText xml:space="preserve"> PAGEREF _Toc113279895 \h </w:instrText>
            </w:r>
            <w:r w:rsidRPr="00C60869">
              <w:rPr>
                <w:webHidden/>
              </w:rPr>
            </w:r>
            <w:r w:rsidRPr="00C60869">
              <w:rPr>
                <w:webHidden/>
              </w:rPr>
              <w:fldChar w:fldCharType="separate"/>
            </w:r>
            <w:r w:rsidR="00620F5A">
              <w:rPr>
                <w:webHidden/>
              </w:rPr>
              <w:t>3</w:t>
            </w:r>
            <w:r w:rsidRPr="00C60869">
              <w:rPr>
                <w:webHidden/>
              </w:rPr>
              <w:fldChar w:fldCharType="end"/>
            </w:r>
          </w:hyperlink>
        </w:p>
        <w:p w14:paraId="68D7D914" w14:textId="122D8294" w:rsidR="00C60869" w:rsidRPr="00C60869" w:rsidRDefault="00C60869" w:rsidP="00C60869">
          <w:pPr>
            <w:pStyle w:val="TOC1"/>
          </w:pPr>
          <w:hyperlink w:anchor="_Toc113279896" w:history="1">
            <w:r w:rsidRPr="00C60869">
              <w:rPr>
                <w:rStyle w:val="Hyperlink"/>
                <w:b/>
                <w:bCs/>
              </w:rPr>
              <w:t>F. Ônibus e Transporte de Alunos</w:t>
            </w:r>
            <w:r w:rsidRPr="00C60869">
              <w:rPr>
                <w:webHidden/>
              </w:rPr>
              <w:tab/>
            </w:r>
            <w:r w:rsidRPr="00C60869">
              <w:rPr>
                <w:webHidden/>
              </w:rPr>
              <w:fldChar w:fldCharType="begin"/>
            </w:r>
            <w:r w:rsidRPr="00C60869">
              <w:rPr>
                <w:webHidden/>
              </w:rPr>
              <w:instrText xml:space="preserve"> PAGEREF _Toc113279896 \h </w:instrText>
            </w:r>
            <w:r w:rsidRPr="00C60869">
              <w:rPr>
                <w:webHidden/>
              </w:rPr>
            </w:r>
            <w:r w:rsidRPr="00C60869">
              <w:rPr>
                <w:webHidden/>
              </w:rPr>
              <w:fldChar w:fldCharType="separate"/>
            </w:r>
            <w:r w:rsidR="00620F5A">
              <w:rPr>
                <w:webHidden/>
              </w:rPr>
              <w:t>3</w:t>
            </w:r>
            <w:r w:rsidRPr="00C60869">
              <w:rPr>
                <w:webHidden/>
              </w:rPr>
              <w:fldChar w:fldCharType="end"/>
            </w:r>
          </w:hyperlink>
        </w:p>
        <w:p w14:paraId="3BAFBFA3" w14:textId="0155A5C5" w:rsidR="00C60869" w:rsidRPr="00C60869" w:rsidRDefault="00C60869" w:rsidP="00C60869">
          <w:pPr>
            <w:pStyle w:val="TOC1"/>
          </w:pPr>
          <w:hyperlink w:anchor="_Toc113279897" w:history="1">
            <w:r w:rsidRPr="00C60869">
              <w:rPr>
                <w:rStyle w:val="Hyperlink"/>
                <w:b/>
                <w:bCs/>
              </w:rPr>
              <w:t>G. Equipamento de Proteção Individual (EPI)</w:t>
            </w:r>
            <w:r w:rsidRPr="00C60869">
              <w:rPr>
                <w:webHidden/>
              </w:rPr>
              <w:tab/>
            </w:r>
            <w:r w:rsidRPr="00C60869">
              <w:rPr>
                <w:webHidden/>
              </w:rPr>
              <w:fldChar w:fldCharType="begin"/>
            </w:r>
            <w:r w:rsidRPr="00C60869">
              <w:rPr>
                <w:webHidden/>
              </w:rPr>
              <w:instrText xml:space="preserve"> PAGEREF _Toc113279897 \h </w:instrText>
            </w:r>
            <w:r w:rsidRPr="00C60869">
              <w:rPr>
                <w:webHidden/>
              </w:rPr>
            </w:r>
            <w:r w:rsidRPr="00C60869">
              <w:rPr>
                <w:webHidden/>
              </w:rPr>
              <w:fldChar w:fldCharType="separate"/>
            </w:r>
            <w:r w:rsidR="00620F5A">
              <w:rPr>
                <w:webHidden/>
              </w:rPr>
              <w:t>3</w:t>
            </w:r>
            <w:r w:rsidRPr="00C60869">
              <w:rPr>
                <w:webHidden/>
              </w:rPr>
              <w:fldChar w:fldCharType="end"/>
            </w:r>
          </w:hyperlink>
        </w:p>
        <w:p w14:paraId="6057B537" w14:textId="1CE85C55" w:rsidR="00C60869" w:rsidRDefault="00C60869" w:rsidP="00C60869">
          <w:pPr>
            <w:pStyle w:val="TOC1"/>
          </w:pPr>
          <w:hyperlink w:anchor="_Toc113279898" w:history="1">
            <w:r w:rsidRPr="00C60869">
              <w:rPr>
                <w:rStyle w:val="Hyperlink"/>
                <w:b/>
                <w:bCs/>
              </w:rPr>
              <w:t>H. Ventilação</w:t>
            </w:r>
            <w:r w:rsidRPr="00C60869">
              <w:rPr>
                <w:webHidden/>
              </w:rPr>
              <w:tab/>
            </w:r>
            <w:r w:rsidRPr="00C60869">
              <w:rPr>
                <w:webHidden/>
              </w:rPr>
              <w:fldChar w:fldCharType="begin"/>
            </w:r>
            <w:r w:rsidRPr="00C60869">
              <w:rPr>
                <w:webHidden/>
              </w:rPr>
              <w:instrText xml:space="preserve"> PAGEREF _Toc113279898 \h </w:instrText>
            </w:r>
            <w:r w:rsidRPr="00C60869">
              <w:rPr>
                <w:webHidden/>
              </w:rPr>
            </w:r>
            <w:r w:rsidRPr="00C60869">
              <w:rPr>
                <w:webHidden/>
              </w:rPr>
              <w:fldChar w:fldCharType="separate"/>
            </w:r>
            <w:r w:rsidR="00620F5A">
              <w:rPr>
                <w:webHidden/>
              </w:rPr>
              <w:t>4</w:t>
            </w:r>
            <w:r w:rsidRPr="00C60869">
              <w:rPr>
                <w:webHidden/>
              </w:rPr>
              <w:fldChar w:fldCharType="end"/>
            </w:r>
          </w:hyperlink>
        </w:p>
        <w:p w14:paraId="1FCFF97E" w14:textId="1CC47BB0" w:rsidR="00C60869" w:rsidRPr="00C60869" w:rsidRDefault="00C60869" w:rsidP="00C60869">
          <w:pPr>
            <w:pStyle w:val="TOC1"/>
          </w:pPr>
          <w:hyperlink w:anchor="_Toc113279899" w:history="1">
            <w:r w:rsidRPr="00C60869">
              <w:rPr>
                <w:rStyle w:val="Hyperlink"/>
                <w:b/>
                <w:bCs/>
              </w:rPr>
              <w:t>I. Regras para Alunos ou Funcionários Doentes</w:t>
            </w:r>
            <w:r w:rsidRPr="00C60869">
              <w:rPr>
                <w:webHidden/>
              </w:rPr>
              <w:tab/>
            </w:r>
            <w:r w:rsidRPr="00C60869">
              <w:rPr>
                <w:webHidden/>
              </w:rPr>
              <w:fldChar w:fldCharType="begin"/>
            </w:r>
            <w:r w:rsidRPr="00C60869">
              <w:rPr>
                <w:webHidden/>
              </w:rPr>
              <w:instrText xml:space="preserve"> PAGEREF _Toc113279899 \h </w:instrText>
            </w:r>
            <w:r w:rsidRPr="00C60869">
              <w:rPr>
                <w:webHidden/>
              </w:rPr>
            </w:r>
            <w:r w:rsidRPr="00C60869">
              <w:rPr>
                <w:webHidden/>
              </w:rPr>
              <w:fldChar w:fldCharType="separate"/>
            </w:r>
            <w:r w:rsidR="00620F5A">
              <w:rPr>
                <w:webHidden/>
              </w:rPr>
              <w:t>4</w:t>
            </w:r>
            <w:r w:rsidRPr="00C60869">
              <w:rPr>
                <w:webHidden/>
              </w:rPr>
              <w:fldChar w:fldCharType="end"/>
            </w:r>
          </w:hyperlink>
        </w:p>
        <w:p w14:paraId="08A30994" w14:textId="33CBD949" w:rsidR="00C60869" w:rsidRDefault="00C60869">
          <w:pPr>
            <w:pStyle w:val="TOC2"/>
            <w:tabs>
              <w:tab w:val="right" w:pos="8900"/>
            </w:tabs>
            <w:rPr>
              <w:noProof/>
            </w:rPr>
          </w:pPr>
          <w:hyperlink w:anchor="_Toc113279900" w:history="1">
            <w:r w:rsidRPr="00054355">
              <w:rPr>
                <w:rStyle w:val="Hyperlink"/>
                <w:noProof/>
                <w:lang w:bidi="pt-PT"/>
              </w:rPr>
              <w:t>1. Indivíduos com sintomas</w:t>
            </w:r>
            <w:r>
              <w:rPr>
                <w:noProof/>
                <w:webHidden/>
              </w:rPr>
              <w:tab/>
            </w:r>
            <w:r>
              <w:rPr>
                <w:noProof/>
                <w:webHidden/>
              </w:rPr>
              <w:fldChar w:fldCharType="begin"/>
            </w:r>
            <w:r>
              <w:rPr>
                <w:noProof/>
                <w:webHidden/>
              </w:rPr>
              <w:instrText xml:space="preserve"> PAGEREF _Toc113279900 \h </w:instrText>
            </w:r>
            <w:r>
              <w:rPr>
                <w:noProof/>
                <w:webHidden/>
              </w:rPr>
            </w:r>
            <w:r>
              <w:rPr>
                <w:noProof/>
                <w:webHidden/>
              </w:rPr>
              <w:fldChar w:fldCharType="separate"/>
            </w:r>
            <w:r w:rsidR="00620F5A">
              <w:rPr>
                <w:noProof/>
                <w:webHidden/>
              </w:rPr>
              <w:t>4</w:t>
            </w:r>
            <w:r>
              <w:rPr>
                <w:noProof/>
                <w:webHidden/>
              </w:rPr>
              <w:fldChar w:fldCharType="end"/>
            </w:r>
          </w:hyperlink>
        </w:p>
        <w:p w14:paraId="71B32C15" w14:textId="0C4AFA9B" w:rsidR="00C60869" w:rsidRDefault="00C60869">
          <w:pPr>
            <w:pStyle w:val="TOC2"/>
            <w:tabs>
              <w:tab w:val="right" w:pos="8900"/>
            </w:tabs>
            <w:rPr>
              <w:noProof/>
            </w:rPr>
          </w:pPr>
          <w:hyperlink w:anchor="_Toc113279901" w:history="1">
            <w:r w:rsidRPr="00054355">
              <w:rPr>
                <w:rStyle w:val="Hyperlink"/>
                <w:noProof/>
                <w:lang w:bidi="pt-PT"/>
              </w:rPr>
              <w:t>2. Indivíduos que testarem positivo para COVID-19</w:t>
            </w:r>
            <w:r>
              <w:rPr>
                <w:noProof/>
                <w:webHidden/>
              </w:rPr>
              <w:tab/>
            </w:r>
            <w:r>
              <w:rPr>
                <w:noProof/>
                <w:webHidden/>
              </w:rPr>
              <w:fldChar w:fldCharType="begin"/>
            </w:r>
            <w:r>
              <w:rPr>
                <w:noProof/>
                <w:webHidden/>
              </w:rPr>
              <w:instrText xml:space="preserve"> PAGEREF _Toc113279901 \h </w:instrText>
            </w:r>
            <w:r>
              <w:rPr>
                <w:noProof/>
                <w:webHidden/>
              </w:rPr>
            </w:r>
            <w:r>
              <w:rPr>
                <w:noProof/>
                <w:webHidden/>
              </w:rPr>
              <w:fldChar w:fldCharType="separate"/>
            </w:r>
            <w:r w:rsidR="00620F5A">
              <w:rPr>
                <w:noProof/>
                <w:webHidden/>
              </w:rPr>
              <w:t>4</w:t>
            </w:r>
            <w:r>
              <w:rPr>
                <w:noProof/>
                <w:webHidden/>
              </w:rPr>
              <w:fldChar w:fldCharType="end"/>
            </w:r>
          </w:hyperlink>
        </w:p>
        <w:p w14:paraId="01AF201D" w14:textId="5457ADDF" w:rsidR="00C60869" w:rsidRDefault="00C60869">
          <w:pPr>
            <w:pStyle w:val="TOC2"/>
            <w:tabs>
              <w:tab w:val="right" w:pos="8900"/>
            </w:tabs>
            <w:rPr>
              <w:noProof/>
            </w:rPr>
          </w:pPr>
          <w:hyperlink w:anchor="_Toc113279902" w:history="1">
            <w:r w:rsidRPr="00054355">
              <w:rPr>
                <w:rStyle w:val="Hyperlink"/>
                <w:noProof/>
                <w:lang w:bidi="pt-PT"/>
              </w:rPr>
              <w:t>3. Indivíduos expostos ao COVID-19</w:t>
            </w:r>
            <w:r>
              <w:rPr>
                <w:noProof/>
                <w:webHidden/>
              </w:rPr>
              <w:tab/>
            </w:r>
            <w:r>
              <w:rPr>
                <w:noProof/>
                <w:webHidden/>
              </w:rPr>
              <w:fldChar w:fldCharType="begin"/>
            </w:r>
            <w:r>
              <w:rPr>
                <w:noProof/>
                <w:webHidden/>
              </w:rPr>
              <w:instrText xml:space="preserve"> PAGEREF _Toc113279902 \h </w:instrText>
            </w:r>
            <w:r>
              <w:rPr>
                <w:noProof/>
                <w:webHidden/>
              </w:rPr>
            </w:r>
            <w:r>
              <w:rPr>
                <w:noProof/>
                <w:webHidden/>
              </w:rPr>
              <w:fldChar w:fldCharType="separate"/>
            </w:r>
            <w:r w:rsidR="00620F5A">
              <w:rPr>
                <w:noProof/>
                <w:webHidden/>
              </w:rPr>
              <w:t>5</w:t>
            </w:r>
            <w:r>
              <w:rPr>
                <w:noProof/>
                <w:webHidden/>
              </w:rPr>
              <w:fldChar w:fldCharType="end"/>
            </w:r>
          </w:hyperlink>
        </w:p>
        <w:p w14:paraId="366F9D07" w14:textId="60871BA6" w:rsidR="00C60869" w:rsidRPr="00C60869" w:rsidRDefault="00C60869" w:rsidP="00C60869">
          <w:pPr>
            <w:pStyle w:val="TOC1"/>
          </w:pPr>
          <w:hyperlink w:anchor="_Toc113279903" w:history="1">
            <w:r w:rsidRPr="00C60869">
              <w:rPr>
                <w:rStyle w:val="Hyperlink"/>
                <w:b/>
                <w:bCs/>
              </w:rPr>
              <w:t>J. Testes na Escola</w:t>
            </w:r>
            <w:r w:rsidRPr="00C60869">
              <w:rPr>
                <w:webHidden/>
              </w:rPr>
              <w:tab/>
            </w:r>
            <w:r w:rsidRPr="00C60869">
              <w:rPr>
                <w:webHidden/>
              </w:rPr>
              <w:fldChar w:fldCharType="begin"/>
            </w:r>
            <w:r w:rsidRPr="00C60869">
              <w:rPr>
                <w:webHidden/>
              </w:rPr>
              <w:instrText xml:space="preserve"> PAGEREF _Toc113279903 \h </w:instrText>
            </w:r>
            <w:r w:rsidRPr="00C60869">
              <w:rPr>
                <w:webHidden/>
              </w:rPr>
            </w:r>
            <w:r w:rsidRPr="00C60869">
              <w:rPr>
                <w:webHidden/>
              </w:rPr>
              <w:fldChar w:fldCharType="separate"/>
            </w:r>
            <w:r w:rsidR="00620F5A">
              <w:rPr>
                <w:webHidden/>
              </w:rPr>
              <w:t>5</w:t>
            </w:r>
            <w:r w:rsidRPr="00C60869">
              <w:rPr>
                <w:webHidden/>
              </w:rPr>
              <w:fldChar w:fldCharType="end"/>
            </w:r>
          </w:hyperlink>
        </w:p>
        <w:p w14:paraId="72E7DAA0" w14:textId="4248E0E0" w:rsidR="00C60869" w:rsidRDefault="00C60869">
          <w:pPr>
            <w:pStyle w:val="TOC2"/>
            <w:tabs>
              <w:tab w:val="right" w:pos="8900"/>
            </w:tabs>
            <w:rPr>
              <w:noProof/>
            </w:rPr>
          </w:pPr>
          <w:hyperlink w:anchor="_Toc113279904" w:history="1">
            <w:r w:rsidRPr="00054355">
              <w:rPr>
                <w:rStyle w:val="Hyperlink"/>
                <w:noProof/>
                <w:lang w:bidi="pt-PT"/>
              </w:rPr>
              <w:t>1. Teste para assintomáticos</w:t>
            </w:r>
            <w:r>
              <w:rPr>
                <w:noProof/>
                <w:webHidden/>
              </w:rPr>
              <w:tab/>
            </w:r>
            <w:r>
              <w:rPr>
                <w:noProof/>
                <w:webHidden/>
              </w:rPr>
              <w:fldChar w:fldCharType="begin"/>
            </w:r>
            <w:r>
              <w:rPr>
                <w:noProof/>
                <w:webHidden/>
              </w:rPr>
              <w:instrText xml:space="preserve"> PAGEREF _Toc113279904 \h </w:instrText>
            </w:r>
            <w:r>
              <w:rPr>
                <w:noProof/>
                <w:webHidden/>
              </w:rPr>
            </w:r>
            <w:r>
              <w:rPr>
                <w:noProof/>
                <w:webHidden/>
              </w:rPr>
              <w:fldChar w:fldCharType="separate"/>
            </w:r>
            <w:r w:rsidR="00620F5A">
              <w:rPr>
                <w:noProof/>
                <w:webHidden/>
              </w:rPr>
              <w:t>5</w:t>
            </w:r>
            <w:r>
              <w:rPr>
                <w:noProof/>
                <w:webHidden/>
              </w:rPr>
              <w:fldChar w:fldCharType="end"/>
            </w:r>
          </w:hyperlink>
        </w:p>
        <w:p w14:paraId="43BB2F1A" w14:textId="599C556F" w:rsidR="00C60869" w:rsidRDefault="00C60869">
          <w:pPr>
            <w:pStyle w:val="TOC2"/>
            <w:tabs>
              <w:tab w:val="right" w:pos="8900"/>
            </w:tabs>
            <w:rPr>
              <w:noProof/>
            </w:rPr>
          </w:pPr>
          <w:hyperlink w:anchor="_Toc113279905" w:history="1">
            <w:r w:rsidRPr="00054355">
              <w:rPr>
                <w:rStyle w:val="Hyperlink"/>
                <w:noProof/>
                <w:lang w:bidi="pt-PT"/>
              </w:rPr>
              <w:t>2. Testes para sintomáticos</w:t>
            </w:r>
            <w:r>
              <w:rPr>
                <w:noProof/>
                <w:webHidden/>
              </w:rPr>
              <w:tab/>
            </w:r>
            <w:r>
              <w:rPr>
                <w:noProof/>
                <w:webHidden/>
              </w:rPr>
              <w:fldChar w:fldCharType="begin"/>
            </w:r>
            <w:r>
              <w:rPr>
                <w:noProof/>
                <w:webHidden/>
              </w:rPr>
              <w:instrText xml:space="preserve"> PAGEREF _Toc113279905 \h </w:instrText>
            </w:r>
            <w:r>
              <w:rPr>
                <w:noProof/>
                <w:webHidden/>
              </w:rPr>
            </w:r>
            <w:r>
              <w:rPr>
                <w:noProof/>
                <w:webHidden/>
              </w:rPr>
              <w:fldChar w:fldCharType="separate"/>
            </w:r>
            <w:r w:rsidR="00620F5A">
              <w:rPr>
                <w:noProof/>
                <w:webHidden/>
              </w:rPr>
              <w:t>5</w:t>
            </w:r>
            <w:r>
              <w:rPr>
                <w:noProof/>
                <w:webHidden/>
              </w:rPr>
              <w:fldChar w:fldCharType="end"/>
            </w:r>
          </w:hyperlink>
        </w:p>
        <w:p w14:paraId="7F0ABF66" w14:textId="06ED4EAF" w:rsidR="00C60869" w:rsidRPr="00C60869" w:rsidRDefault="00C60869" w:rsidP="00C60869">
          <w:pPr>
            <w:pStyle w:val="TOC1"/>
          </w:pPr>
          <w:hyperlink w:anchor="_Toc113279906" w:history="1">
            <w:r w:rsidRPr="00C60869">
              <w:rPr>
                <w:rStyle w:val="Hyperlink"/>
                <w:b/>
                <w:bCs/>
              </w:rPr>
              <w:t>K. Promoção de Vacinação</w:t>
            </w:r>
            <w:r w:rsidRPr="00C60869">
              <w:rPr>
                <w:webHidden/>
              </w:rPr>
              <w:tab/>
            </w:r>
            <w:r w:rsidRPr="00C60869">
              <w:rPr>
                <w:webHidden/>
              </w:rPr>
              <w:fldChar w:fldCharType="begin"/>
            </w:r>
            <w:r w:rsidRPr="00C60869">
              <w:rPr>
                <w:webHidden/>
              </w:rPr>
              <w:instrText xml:space="preserve"> PAGEREF _Toc113279906 \h </w:instrText>
            </w:r>
            <w:r w:rsidRPr="00C60869">
              <w:rPr>
                <w:webHidden/>
              </w:rPr>
            </w:r>
            <w:r w:rsidRPr="00C60869">
              <w:rPr>
                <w:webHidden/>
              </w:rPr>
              <w:fldChar w:fldCharType="separate"/>
            </w:r>
            <w:r w:rsidR="00620F5A">
              <w:rPr>
                <w:webHidden/>
              </w:rPr>
              <w:t>5</w:t>
            </w:r>
            <w:r w:rsidRPr="00C60869">
              <w:rPr>
                <w:webHidden/>
              </w:rPr>
              <w:fldChar w:fldCharType="end"/>
            </w:r>
          </w:hyperlink>
        </w:p>
        <w:p w14:paraId="5A5DACC8" w14:textId="118BBAF4" w:rsidR="00C60869" w:rsidRPr="00C60869" w:rsidRDefault="00C60869" w:rsidP="00C60869">
          <w:pPr>
            <w:pStyle w:val="TOC1"/>
          </w:pPr>
          <w:hyperlink w:anchor="_Toc113279907" w:history="1">
            <w:r w:rsidRPr="00C60869">
              <w:rPr>
                <w:rStyle w:val="Hyperlink"/>
                <w:b/>
                <w:bCs/>
              </w:rPr>
              <w:t>L. Informativos</w:t>
            </w:r>
            <w:r w:rsidRPr="00C60869">
              <w:rPr>
                <w:webHidden/>
              </w:rPr>
              <w:tab/>
            </w:r>
            <w:r w:rsidRPr="00C60869">
              <w:rPr>
                <w:webHidden/>
              </w:rPr>
              <w:fldChar w:fldCharType="begin"/>
            </w:r>
            <w:r w:rsidRPr="00C60869">
              <w:rPr>
                <w:webHidden/>
              </w:rPr>
              <w:instrText xml:space="preserve"> PAGEREF _Toc113279907 \h </w:instrText>
            </w:r>
            <w:r w:rsidRPr="00C60869">
              <w:rPr>
                <w:webHidden/>
              </w:rPr>
            </w:r>
            <w:r w:rsidRPr="00C60869">
              <w:rPr>
                <w:webHidden/>
              </w:rPr>
              <w:fldChar w:fldCharType="separate"/>
            </w:r>
            <w:r w:rsidR="00620F5A">
              <w:rPr>
                <w:webHidden/>
              </w:rPr>
              <w:t>5</w:t>
            </w:r>
            <w:r w:rsidRPr="00C60869">
              <w:rPr>
                <w:webHidden/>
              </w:rPr>
              <w:fldChar w:fldCharType="end"/>
            </w:r>
          </w:hyperlink>
        </w:p>
        <w:p w14:paraId="6F636830" w14:textId="56BA50E4" w:rsidR="00A40931" w:rsidRDefault="00AE1ABB">
          <w:pPr>
            <w:tabs>
              <w:tab w:val="right" w:pos="8910"/>
            </w:tabs>
            <w:spacing w:before="200" w:after="80"/>
            <w:rPr>
              <w:b/>
              <w:color w:val="000000"/>
            </w:rPr>
          </w:pPr>
          <w:r>
            <w:rPr>
              <w:lang w:bidi="pt-PT"/>
            </w:rPr>
            <w:fldChar w:fldCharType="end"/>
          </w:r>
        </w:p>
      </w:sdtContent>
    </w:sdt>
    <w:p w14:paraId="53A0F90A" w14:textId="77777777" w:rsidR="00A40931" w:rsidRDefault="00A40931">
      <w:pPr>
        <w:pStyle w:val="Heading1"/>
      </w:pPr>
      <w:bookmarkStart w:id="0" w:name="_m5xgn425pbca" w:colFirst="0" w:colLast="0"/>
      <w:bookmarkEnd w:id="0"/>
    </w:p>
    <w:p w14:paraId="617EDB5C" w14:textId="77777777" w:rsidR="00A40931" w:rsidRDefault="00AE1ABB">
      <w:pPr>
        <w:pStyle w:val="Heading1"/>
      </w:pPr>
      <w:bookmarkStart w:id="1" w:name="_i0hog2tos9qn" w:colFirst="0" w:colLast="0"/>
      <w:bookmarkEnd w:id="1"/>
      <w:r>
        <w:rPr>
          <w:lang w:bidi="pt-PT"/>
        </w:rPr>
        <w:br w:type="page"/>
      </w:r>
    </w:p>
    <w:p w14:paraId="5AB23362" w14:textId="77777777" w:rsidR="00A40931" w:rsidRDefault="00AE1ABB">
      <w:pPr>
        <w:pStyle w:val="Heading1"/>
      </w:pPr>
      <w:bookmarkStart w:id="2" w:name="_Toc113279890"/>
      <w:r>
        <w:rPr>
          <w:lang w:bidi="pt-PT"/>
        </w:rPr>
        <w:lastRenderedPageBreak/>
        <w:t>A. Limpeza, Desinfecção e Higienização das Mãos</w:t>
      </w:r>
      <w:bookmarkEnd w:id="2"/>
    </w:p>
    <w:p w14:paraId="016A2413" w14:textId="77777777" w:rsidR="00A40931" w:rsidRDefault="00A40931"/>
    <w:p w14:paraId="5FF6AED6" w14:textId="77777777" w:rsidR="00A40931" w:rsidRDefault="00AE1ABB" w:rsidP="00620F5A">
      <w:pPr>
        <w:jc w:val="both"/>
        <w:rPr>
          <w:sz w:val="22"/>
          <w:szCs w:val="22"/>
        </w:rPr>
      </w:pPr>
      <w:r>
        <w:rPr>
          <w:sz w:val="22"/>
          <w:lang w:bidi="pt-PT"/>
        </w:rPr>
        <w:t xml:space="preserve">As escolas devem utilizar as </w:t>
      </w:r>
      <w:hyperlink r:id="rId12" w:anchor=":~:text=CDC%20recommends%20universal%20indoor%20masking,layered%20prevention%20strategies%20in%20place.">
        <w:r>
          <w:rPr>
            <w:color w:val="1155CC"/>
            <w:sz w:val="22"/>
            <w:u w:val="single"/>
            <w:lang w:bidi="pt-PT"/>
          </w:rPr>
          <w:t>Orientações Operacionais dos CDC para Escolas Infantis (K-12), Creches e Programas Educacionais</w:t>
        </w:r>
      </w:hyperlink>
      <w:r>
        <w:rPr>
          <w:sz w:val="22"/>
          <w:lang w:bidi="pt-PT"/>
        </w:rPr>
        <w:t xml:space="preserve"> para limpeza, desinfecção e higiene das mãos. Essas orientações incluem a higiene apropriada das mãos, etiqueta respiratória, limpeza e desinfecção.</w:t>
      </w:r>
    </w:p>
    <w:p w14:paraId="159E41F4" w14:textId="77777777" w:rsidR="00A40931" w:rsidRDefault="00A40931" w:rsidP="00620F5A">
      <w:pPr>
        <w:ind w:left="720"/>
        <w:jc w:val="both"/>
        <w:rPr>
          <w:sz w:val="22"/>
          <w:szCs w:val="22"/>
        </w:rPr>
      </w:pPr>
    </w:p>
    <w:p w14:paraId="7354F665" w14:textId="77777777" w:rsidR="00A40931" w:rsidRDefault="00AE1ABB" w:rsidP="00620F5A">
      <w:pPr>
        <w:pStyle w:val="Heading2"/>
      </w:pPr>
      <w:bookmarkStart w:id="3" w:name="_Toc113279891"/>
      <w:r>
        <w:rPr>
          <w:lang w:bidi="pt-PT"/>
        </w:rPr>
        <w:t>1. Protocolos de Limpeza</w:t>
      </w:r>
      <w:bookmarkEnd w:id="3"/>
    </w:p>
    <w:p w14:paraId="1D7D68D8" w14:textId="77777777" w:rsidR="00A40931" w:rsidRDefault="00AE1ABB" w:rsidP="00620F5A">
      <w:pPr>
        <w:jc w:val="both"/>
        <w:rPr>
          <w:i/>
          <w:sz w:val="22"/>
          <w:szCs w:val="22"/>
        </w:rPr>
      </w:pPr>
      <w:r>
        <w:rPr>
          <w:i/>
          <w:sz w:val="22"/>
          <w:lang w:bidi="pt-PT"/>
        </w:rPr>
        <w:t>Limpeza padrão</w:t>
      </w:r>
    </w:p>
    <w:p w14:paraId="6F2BEC86" w14:textId="77777777" w:rsidR="00A40931" w:rsidRDefault="00AE1ABB" w:rsidP="00620F5A">
      <w:pPr>
        <w:jc w:val="both"/>
        <w:rPr>
          <w:sz w:val="22"/>
          <w:szCs w:val="22"/>
        </w:rPr>
      </w:pPr>
      <w:r>
        <w:rPr>
          <w:sz w:val="22"/>
          <w:lang w:bidi="pt-PT"/>
        </w:rPr>
        <w:t>DEPP e Aramark contrataram funcionários extras para promover limpeza adicional ao longo do dia nos edifícios da escola. Os funcionários limparão objetos e superfícies com alta frequência de contato (como maçanetas, torneiras, bebedouros), assim como os banheiros. Além disso, a First Student fornecerá uma limpeza intensiva dos ônibus ao fim do dia, incluindo a limpeza de superfícies com alta frequência de contato.</w:t>
      </w:r>
    </w:p>
    <w:p w14:paraId="031DCA84" w14:textId="77777777" w:rsidR="00A40931" w:rsidRDefault="00A40931" w:rsidP="00620F5A">
      <w:pPr>
        <w:jc w:val="both"/>
        <w:rPr>
          <w:sz w:val="22"/>
          <w:szCs w:val="22"/>
        </w:rPr>
      </w:pPr>
    </w:p>
    <w:p w14:paraId="28EEEAEB" w14:textId="77777777" w:rsidR="00A40931" w:rsidRDefault="00AE1ABB" w:rsidP="00620F5A">
      <w:pPr>
        <w:jc w:val="both"/>
        <w:rPr>
          <w:sz w:val="22"/>
          <w:szCs w:val="22"/>
        </w:rPr>
      </w:pPr>
      <w:r>
        <w:rPr>
          <w:i/>
          <w:sz w:val="22"/>
          <w:lang w:bidi="pt-PT"/>
        </w:rPr>
        <w:t>Limpeza Intensiva</w:t>
      </w:r>
    </w:p>
    <w:p w14:paraId="70B6FF5B" w14:textId="77777777" w:rsidR="00A40931" w:rsidRDefault="00AE1ABB" w:rsidP="00620F5A">
      <w:pPr>
        <w:jc w:val="both"/>
        <w:rPr>
          <w:sz w:val="22"/>
          <w:szCs w:val="22"/>
        </w:rPr>
      </w:pPr>
      <w:r>
        <w:rPr>
          <w:sz w:val="22"/>
          <w:lang w:bidi="pt-PT"/>
        </w:rPr>
        <w:t xml:space="preserve">Na ocorrência de casos positivos confirmados de COVID-19 em que o estudante ou funcionário tenha estado nas dependências da escola nas últimas 24 horas, a Aramark conduzirá uma limpeza intensiva. Isso inclui uma limpeza e desinfecção intensiva de superfícies dentro da sala de aula e as medidas de ventilação descritas abaixo (leia a seção </w:t>
      </w:r>
      <w:hyperlink w:anchor="_2ujm9mfjhzj9">
        <w:r>
          <w:rPr>
            <w:color w:val="1155CC"/>
            <w:sz w:val="22"/>
            <w:lang w:bidi="pt-PT"/>
          </w:rPr>
          <w:t>«</w:t>
        </w:r>
        <w:r>
          <w:rPr>
            <w:color w:val="1155CC"/>
            <w:sz w:val="22"/>
            <w:u w:val="single"/>
            <w:lang w:bidi="pt-PT"/>
          </w:rPr>
          <w:t>Ventilação</w:t>
        </w:r>
        <w:r>
          <w:rPr>
            <w:color w:val="1155CC"/>
            <w:sz w:val="22"/>
            <w:lang w:bidi="pt-PT"/>
          </w:rPr>
          <w:t>»</w:t>
        </w:r>
      </w:hyperlink>
      <w:r>
        <w:rPr>
          <w:sz w:val="22"/>
          <w:lang w:bidi="pt-PT"/>
        </w:rPr>
        <w:t>). A Aramark indicará com aviso na porta que a limpeza de nível 3 foi executada.</w:t>
      </w:r>
    </w:p>
    <w:p w14:paraId="376F2990" w14:textId="77777777" w:rsidR="00A40931" w:rsidRDefault="00A40931" w:rsidP="00620F5A">
      <w:pPr>
        <w:jc w:val="both"/>
        <w:rPr>
          <w:sz w:val="22"/>
          <w:szCs w:val="22"/>
        </w:rPr>
      </w:pPr>
    </w:p>
    <w:p w14:paraId="3E9A5B8B" w14:textId="77777777" w:rsidR="00A40931" w:rsidRDefault="00AE1ABB">
      <w:pPr>
        <w:pStyle w:val="Heading1"/>
      </w:pPr>
      <w:bookmarkStart w:id="4" w:name="_Toc113279892"/>
      <w:r>
        <w:rPr>
          <w:lang w:bidi="pt-PT"/>
        </w:rPr>
        <w:t>B. Máscaras</w:t>
      </w:r>
      <w:bookmarkEnd w:id="4"/>
    </w:p>
    <w:p w14:paraId="42B6C25B" w14:textId="77777777" w:rsidR="00A40931" w:rsidRDefault="00A40931">
      <w:pPr>
        <w:jc w:val="both"/>
        <w:rPr>
          <w:sz w:val="22"/>
          <w:szCs w:val="22"/>
        </w:rPr>
      </w:pPr>
    </w:p>
    <w:p w14:paraId="784AF53F" w14:textId="77777777" w:rsidR="00A40931" w:rsidRDefault="00AE1ABB" w:rsidP="00620F5A">
      <w:pPr>
        <w:widowControl w:val="0"/>
        <w:spacing w:before="20"/>
        <w:jc w:val="both"/>
        <w:rPr>
          <w:sz w:val="22"/>
          <w:szCs w:val="22"/>
        </w:rPr>
      </w:pPr>
      <w:r>
        <w:rPr>
          <w:sz w:val="22"/>
          <w:lang w:bidi="pt-PT"/>
        </w:rPr>
        <w:t xml:space="preserve">Máscaras não serão exigidas dos alunos ou dos funcionários quando começar o ano letivo. As máscaras devem ser utilizadas por indivíduos que estão se recuperando ou que tiverem sido expostos ao COVID-19 (confira a seção </w:t>
      </w:r>
      <w:hyperlink w:anchor="_ieyvgz8ydf8l">
        <w:r>
          <w:rPr>
            <w:color w:val="1155CC"/>
            <w:sz w:val="22"/>
            <w:u w:val="single"/>
            <w:lang w:bidi="pt-PT"/>
          </w:rPr>
          <w:t>Regras para Alunos ou Funcionários Doentes</w:t>
        </w:r>
      </w:hyperlink>
      <w:r>
        <w:rPr>
          <w:sz w:val="22"/>
          <w:lang w:bidi="pt-PT"/>
        </w:rPr>
        <w:t xml:space="preserve"> abaixo), assim como nos consultórios da enfermaria da escola.</w:t>
      </w:r>
    </w:p>
    <w:p w14:paraId="6EAF6A12" w14:textId="77777777" w:rsidR="00A40931" w:rsidRDefault="00A40931" w:rsidP="00620F5A">
      <w:pPr>
        <w:widowControl w:val="0"/>
        <w:spacing w:before="20"/>
        <w:jc w:val="both"/>
        <w:rPr>
          <w:sz w:val="22"/>
          <w:szCs w:val="22"/>
        </w:rPr>
      </w:pPr>
    </w:p>
    <w:p w14:paraId="5A851BDD" w14:textId="77777777" w:rsidR="00A40931" w:rsidRDefault="00AE1ABB" w:rsidP="00620F5A">
      <w:pPr>
        <w:widowControl w:val="0"/>
        <w:spacing w:before="20"/>
        <w:jc w:val="both"/>
        <w:rPr>
          <w:sz w:val="22"/>
          <w:szCs w:val="22"/>
        </w:rPr>
      </w:pPr>
      <w:r>
        <w:rPr>
          <w:sz w:val="22"/>
          <w:lang w:bidi="pt-PT"/>
        </w:rPr>
        <w:t>DEPP continuará a monitorar as orientações dos CDC e do RIDOH relacionadas ao uso de máscara. No momento da escrita desse documento, os CDC recomendam que as comunidades com «alto nível de COVID-19 comunitário» implementem o uso universal da máscara em espaços fechados. Caso haja alteração nas orientações relacionadas ao uso de máscara, o DEPP compartilhará as informações com os alunos, famílias e funcionários.</w:t>
      </w:r>
    </w:p>
    <w:p w14:paraId="3F8AD9B5" w14:textId="77777777" w:rsidR="00A40931" w:rsidRDefault="00A40931" w:rsidP="00620F5A">
      <w:pPr>
        <w:widowControl w:val="0"/>
        <w:spacing w:before="20"/>
        <w:jc w:val="both"/>
        <w:rPr>
          <w:sz w:val="22"/>
          <w:szCs w:val="22"/>
        </w:rPr>
      </w:pPr>
    </w:p>
    <w:p w14:paraId="4CCEC839" w14:textId="77777777" w:rsidR="00A40931" w:rsidRDefault="00AE1ABB" w:rsidP="00620F5A">
      <w:pPr>
        <w:widowControl w:val="0"/>
        <w:spacing w:before="20"/>
        <w:jc w:val="both"/>
        <w:rPr>
          <w:sz w:val="22"/>
          <w:szCs w:val="22"/>
        </w:rPr>
      </w:pPr>
      <w:r>
        <w:rPr>
          <w:sz w:val="22"/>
          <w:lang w:bidi="pt-PT"/>
        </w:rPr>
        <w:t>Caso as máscaras sejam exigidas para pessoas específicas, exceções ao uso da máscara serão feitas para as seguintes categorias de pessoas:</w:t>
      </w:r>
    </w:p>
    <w:p w14:paraId="33E419E2" w14:textId="77777777" w:rsidR="00A40931" w:rsidRDefault="00AE1ABB" w:rsidP="00620F5A">
      <w:pPr>
        <w:widowControl w:val="0"/>
        <w:numPr>
          <w:ilvl w:val="0"/>
          <w:numId w:val="4"/>
        </w:numPr>
        <w:spacing w:before="20"/>
        <w:jc w:val="both"/>
        <w:rPr>
          <w:sz w:val="22"/>
          <w:szCs w:val="22"/>
        </w:rPr>
      </w:pPr>
      <w:r>
        <w:rPr>
          <w:sz w:val="22"/>
          <w:lang w:bidi="pt-PT"/>
        </w:rPr>
        <w:t>Crianças com menos de 2 anos de idade.</w:t>
      </w:r>
    </w:p>
    <w:p w14:paraId="50C1D183" w14:textId="77777777" w:rsidR="00A40931" w:rsidRDefault="00AE1ABB" w:rsidP="00620F5A">
      <w:pPr>
        <w:widowControl w:val="0"/>
        <w:numPr>
          <w:ilvl w:val="0"/>
          <w:numId w:val="4"/>
        </w:numPr>
        <w:jc w:val="both"/>
        <w:rPr>
          <w:sz w:val="22"/>
          <w:szCs w:val="22"/>
        </w:rPr>
      </w:pPr>
      <w:r>
        <w:rPr>
          <w:sz w:val="22"/>
          <w:lang w:bidi="pt-PT"/>
        </w:rPr>
        <w:t>Pessoas com condições de saúde que impeçam o uso da máscara ou que não possam utilizar uma máscara com segurança devido à sua condição, como definido pela Lei dos Americanos com Deficiências (42 U.S.C. 12101 et seq.).</w:t>
      </w:r>
    </w:p>
    <w:p w14:paraId="368F6356" w14:textId="77777777" w:rsidR="00A40931" w:rsidRDefault="00AE1ABB" w:rsidP="00620F5A">
      <w:pPr>
        <w:widowControl w:val="0"/>
        <w:numPr>
          <w:ilvl w:val="0"/>
          <w:numId w:val="4"/>
        </w:numPr>
        <w:jc w:val="both"/>
        <w:rPr>
          <w:sz w:val="22"/>
          <w:szCs w:val="22"/>
        </w:rPr>
      </w:pPr>
      <w:r>
        <w:rPr>
          <w:sz w:val="22"/>
          <w:lang w:bidi="pt-PT"/>
        </w:rPr>
        <w:t xml:space="preserve">Pessoas que, ao utilizar a máscara, ofereceriam um risco à saúde, segurança ou às tarefas do trabalho como determinado pelas orientações de segurança no ambiente de trabalho ou regulamentações federais. </w:t>
      </w:r>
    </w:p>
    <w:p w14:paraId="35E29E6E" w14:textId="77777777" w:rsidR="00A40931" w:rsidRDefault="00A40931" w:rsidP="00620F5A">
      <w:pPr>
        <w:widowControl w:val="0"/>
        <w:spacing w:before="20"/>
        <w:jc w:val="both"/>
        <w:rPr>
          <w:sz w:val="22"/>
          <w:szCs w:val="22"/>
        </w:rPr>
      </w:pPr>
    </w:p>
    <w:p w14:paraId="51E4A0AD" w14:textId="77777777" w:rsidR="00A40931" w:rsidRDefault="00AE1ABB" w:rsidP="00620F5A">
      <w:pPr>
        <w:widowControl w:val="0"/>
        <w:spacing w:before="20"/>
        <w:jc w:val="both"/>
        <w:rPr>
          <w:sz w:val="22"/>
          <w:szCs w:val="22"/>
        </w:rPr>
      </w:pPr>
      <w:r>
        <w:rPr>
          <w:sz w:val="22"/>
          <w:lang w:bidi="pt-PT"/>
        </w:rPr>
        <w:t>Funcionários que desejem se qualificar para uma exceção, como dito nos itens 2 ou 3, devem entrar em contato com Ray Lambert (</w:t>
      </w:r>
      <w:hyperlink r:id="rId13">
        <w:r>
          <w:rPr>
            <w:color w:val="1155CC"/>
            <w:sz w:val="22"/>
            <w:u w:val="single"/>
            <w:lang w:bidi="pt-PT"/>
          </w:rPr>
          <w:t>Raymond.Lambert@ppsd.org</w:t>
        </w:r>
      </w:hyperlink>
      <w:r>
        <w:rPr>
          <w:sz w:val="22"/>
          <w:lang w:bidi="pt-PT"/>
        </w:rPr>
        <w:t xml:space="preserve">) para que seu pedido seja analisado e aprovado ou negado. Da mesma forma, alunos devem entrar em contato com a enfermaria da escola </w:t>
      </w:r>
      <w:r>
        <w:rPr>
          <w:sz w:val="22"/>
          <w:lang w:bidi="pt-PT"/>
        </w:rPr>
        <w:lastRenderedPageBreak/>
        <w:t>para análise e possível aprovação ou não do pedido.</w:t>
      </w:r>
    </w:p>
    <w:p w14:paraId="4AF4E7F6" w14:textId="77777777" w:rsidR="00A40931" w:rsidRDefault="00A40931">
      <w:pPr>
        <w:widowControl w:val="0"/>
        <w:spacing w:before="20"/>
        <w:rPr>
          <w:sz w:val="22"/>
          <w:szCs w:val="22"/>
        </w:rPr>
      </w:pPr>
    </w:p>
    <w:p w14:paraId="30739D69" w14:textId="77777777" w:rsidR="00A40931" w:rsidRDefault="00AE1ABB">
      <w:pPr>
        <w:pStyle w:val="Heading1"/>
      </w:pPr>
      <w:bookmarkStart w:id="5" w:name="_Toc113279893"/>
      <w:r>
        <w:rPr>
          <w:lang w:bidi="pt-PT"/>
        </w:rPr>
        <w:t>C. Análise de Sintomas</w:t>
      </w:r>
      <w:bookmarkEnd w:id="5"/>
    </w:p>
    <w:p w14:paraId="5E6AA533" w14:textId="77777777" w:rsidR="00A40931" w:rsidRDefault="00A40931">
      <w:pPr>
        <w:rPr>
          <w:sz w:val="22"/>
          <w:szCs w:val="22"/>
        </w:rPr>
      </w:pPr>
    </w:p>
    <w:p w14:paraId="3C50907C" w14:textId="77777777" w:rsidR="00A40931" w:rsidRDefault="00AE1ABB" w:rsidP="00620F5A">
      <w:pPr>
        <w:jc w:val="both"/>
        <w:rPr>
          <w:sz w:val="22"/>
          <w:szCs w:val="22"/>
        </w:rPr>
      </w:pPr>
      <w:r>
        <w:rPr>
          <w:sz w:val="22"/>
          <w:lang w:bidi="pt-PT"/>
        </w:rPr>
        <w:t>Alunos e funcionários que estejam doentes ou que tenham sintomas indicativos de um possível caso de COVID-19 devem permanecer em casa, entrar em contato com um profissional de saúde e fazer um teste. Recomenda-se muito que funcionários e pais ou responsáveis monitorem os sintomas de seus filhos para qualquer doença infecciosa diariamente através de uma análise dos sintomas feita em casa. O distrito enviará informes para todos os estudantes, famílias e funcionários lembrando-os da obrigação do automonitoramento de sintomas. Além disso, as escolas devem fixar sinalização sobre os sintomas na entrada dos edifícios.</w:t>
      </w:r>
    </w:p>
    <w:p w14:paraId="79C3C1A8" w14:textId="77777777" w:rsidR="00A40931" w:rsidRDefault="00A40931">
      <w:pPr>
        <w:jc w:val="both"/>
        <w:rPr>
          <w:sz w:val="22"/>
          <w:szCs w:val="22"/>
        </w:rPr>
      </w:pPr>
    </w:p>
    <w:p w14:paraId="65E9375A" w14:textId="77777777" w:rsidR="00A40931" w:rsidRDefault="00AE1ABB">
      <w:pPr>
        <w:pStyle w:val="Heading1"/>
      </w:pPr>
      <w:bookmarkStart w:id="6" w:name="_Toc113279894"/>
      <w:r>
        <w:rPr>
          <w:lang w:bidi="pt-PT"/>
        </w:rPr>
        <w:t>D. Visitantes da Escola</w:t>
      </w:r>
      <w:bookmarkEnd w:id="6"/>
    </w:p>
    <w:p w14:paraId="3EFD5222" w14:textId="77777777" w:rsidR="00A40931" w:rsidRDefault="00A40931">
      <w:pPr>
        <w:jc w:val="both"/>
        <w:rPr>
          <w:sz w:val="22"/>
          <w:szCs w:val="22"/>
        </w:rPr>
      </w:pPr>
    </w:p>
    <w:p w14:paraId="1744C569" w14:textId="77777777" w:rsidR="00A40931" w:rsidRDefault="00AE1ABB" w:rsidP="00620F5A">
      <w:pPr>
        <w:jc w:val="both"/>
        <w:rPr>
          <w:sz w:val="22"/>
          <w:szCs w:val="22"/>
        </w:rPr>
      </w:pPr>
      <w:r>
        <w:rPr>
          <w:sz w:val="22"/>
          <w:lang w:bidi="pt-PT"/>
        </w:rPr>
        <w:t>Será admitida a entrada de visitantes nos edifícios da escola.  Será exigido um registro de 30 dias de todos os visitantes para rastreamento de contato. O registro deve incluir a data, número de celular e horários de chegada e de saída.  Todos os visitantes devem cumprir com as políticas e protocolos para COVID-19 da LEA (Agência de Educação Local) ou da escola.</w:t>
      </w:r>
    </w:p>
    <w:p w14:paraId="44560591" w14:textId="77777777" w:rsidR="00A40931" w:rsidRDefault="00A40931">
      <w:pPr>
        <w:rPr>
          <w:sz w:val="22"/>
          <w:szCs w:val="22"/>
        </w:rPr>
      </w:pPr>
    </w:p>
    <w:p w14:paraId="33205CE6" w14:textId="77777777" w:rsidR="00A40931" w:rsidRDefault="00AE1ABB">
      <w:pPr>
        <w:pStyle w:val="Heading1"/>
      </w:pPr>
      <w:bookmarkStart w:id="7" w:name="_Toc113279895"/>
      <w:r>
        <w:rPr>
          <w:lang w:bidi="pt-PT"/>
        </w:rPr>
        <w:t>E. Esportes e Atletismo</w:t>
      </w:r>
      <w:bookmarkEnd w:id="7"/>
    </w:p>
    <w:p w14:paraId="7B98B97E" w14:textId="77777777" w:rsidR="00A40931" w:rsidRDefault="00AE1ABB" w:rsidP="00620F5A">
      <w:pPr>
        <w:jc w:val="both"/>
        <w:rPr>
          <w:sz w:val="22"/>
          <w:szCs w:val="22"/>
        </w:rPr>
      </w:pPr>
      <w:r>
        <w:rPr>
          <w:sz w:val="22"/>
          <w:lang w:bidi="pt-PT"/>
        </w:rPr>
        <w:t>Em esportes que tenham contato próximo e prolongado, os atletas devem fazer testes semanais de sintomas fornecidos pelas Escolas Públicas de Providence. Em qualquer caso, o futebol identifica-se como um esporte de contato próximo. Além disso, todos os estudantes atletas deverão assinar um atestado informando que permanecerão em casa e não frequentarão a escola ou atividades esportivas caso tenham sintomas.</w:t>
      </w:r>
    </w:p>
    <w:p w14:paraId="2D112417" w14:textId="77777777" w:rsidR="00A40931" w:rsidRDefault="00A40931">
      <w:pPr>
        <w:rPr>
          <w:sz w:val="22"/>
          <w:szCs w:val="22"/>
        </w:rPr>
      </w:pPr>
    </w:p>
    <w:p w14:paraId="05A25004" w14:textId="77777777" w:rsidR="00A40931" w:rsidRDefault="00AE1ABB">
      <w:pPr>
        <w:pStyle w:val="Heading1"/>
      </w:pPr>
      <w:bookmarkStart w:id="8" w:name="_Toc113279896"/>
      <w:r>
        <w:rPr>
          <w:lang w:bidi="pt-PT"/>
        </w:rPr>
        <w:t>F. Ônibus e Transporte de Alunos</w:t>
      </w:r>
      <w:bookmarkEnd w:id="8"/>
    </w:p>
    <w:p w14:paraId="3EE44BC5" w14:textId="77777777" w:rsidR="00A40931" w:rsidRDefault="00A40931">
      <w:pPr>
        <w:jc w:val="both"/>
        <w:rPr>
          <w:sz w:val="22"/>
          <w:szCs w:val="22"/>
        </w:rPr>
      </w:pPr>
    </w:p>
    <w:p w14:paraId="573BA5BF" w14:textId="77777777" w:rsidR="00A40931" w:rsidRDefault="00AE1ABB" w:rsidP="00620F5A">
      <w:pPr>
        <w:jc w:val="both"/>
        <w:rPr>
          <w:sz w:val="22"/>
          <w:szCs w:val="22"/>
        </w:rPr>
      </w:pPr>
      <w:r>
        <w:rPr>
          <w:sz w:val="22"/>
          <w:lang w:bidi="pt-PT"/>
        </w:rPr>
        <w:t>Não há restrição de capacidade para o transporte escolar. Recomenda-se que membros da mesma casa sentem-se juntos e na mesma fileira ,quando possível.</w:t>
      </w:r>
    </w:p>
    <w:p w14:paraId="265280C8" w14:textId="77777777" w:rsidR="00A40931" w:rsidRDefault="00A40931" w:rsidP="00620F5A">
      <w:pPr>
        <w:jc w:val="both"/>
        <w:rPr>
          <w:sz w:val="22"/>
          <w:szCs w:val="22"/>
        </w:rPr>
      </w:pPr>
    </w:p>
    <w:p w14:paraId="46233DD1" w14:textId="77777777" w:rsidR="00A40931" w:rsidRDefault="00AE1ABB" w:rsidP="00620F5A">
      <w:pPr>
        <w:jc w:val="both"/>
        <w:rPr>
          <w:sz w:val="22"/>
          <w:szCs w:val="22"/>
        </w:rPr>
      </w:pPr>
      <w:r>
        <w:rPr>
          <w:sz w:val="22"/>
          <w:lang w:bidi="pt-PT"/>
        </w:rPr>
        <w:t xml:space="preserve">Funcionários devem abrir as janelas para melhorar a ventilação, quando isso não causar uma ameaça à segurança. </w:t>
      </w:r>
    </w:p>
    <w:p w14:paraId="51074780" w14:textId="77777777" w:rsidR="00A40931" w:rsidRDefault="00A40931"/>
    <w:p w14:paraId="1F4EEBC5" w14:textId="77777777" w:rsidR="00A40931" w:rsidRDefault="00AE1ABB">
      <w:pPr>
        <w:pStyle w:val="Heading1"/>
      </w:pPr>
      <w:bookmarkStart w:id="9" w:name="_Toc113279897"/>
      <w:r>
        <w:rPr>
          <w:lang w:bidi="pt-PT"/>
        </w:rPr>
        <w:t>G. Equipamento de Proteção Individual (EPI)</w:t>
      </w:r>
      <w:bookmarkEnd w:id="9"/>
    </w:p>
    <w:p w14:paraId="31B7981E" w14:textId="77777777" w:rsidR="00A40931" w:rsidRDefault="00A40931">
      <w:pPr>
        <w:jc w:val="both"/>
        <w:rPr>
          <w:sz w:val="22"/>
          <w:szCs w:val="22"/>
        </w:rPr>
      </w:pPr>
    </w:p>
    <w:p w14:paraId="6B538F89" w14:textId="77777777" w:rsidR="00A40931" w:rsidRDefault="00AE1ABB" w:rsidP="00620F5A">
      <w:pPr>
        <w:spacing w:line="276" w:lineRule="auto"/>
        <w:jc w:val="both"/>
        <w:rPr>
          <w:sz w:val="22"/>
          <w:szCs w:val="22"/>
        </w:rPr>
      </w:pPr>
      <w:r>
        <w:rPr>
          <w:sz w:val="22"/>
          <w:lang w:bidi="pt-PT"/>
        </w:rPr>
        <w:t>As escolas receberão um suprimento adequado de EPI para todas as salas de aula e escritórios, incluindo:</w:t>
      </w:r>
    </w:p>
    <w:p w14:paraId="7FB67666" w14:textId="77777777" w:rsidR="00A40931" w:rsidRDefault="00AE1ABB" w:rsidP="00620F5A">
      <w:pPr>
        <w:numPr>
          <w:ilvl w:val="0"/>
          <w:numId w:val="3"/>
        </w:numPr>
        <w:spacing w:line="276" w:lineRule="auto"/>
        <w:jc w:val="both"/>
        <w:rPr>
          <w:sz w:val="22"/>
          <w:szCs w:val="22"/>
        </w:rPr>
      </w:pPr>
      <w:r>
        <w:rPr>
          <w:sz w:val="22"/>
          <w:lang w:bidi="pt-PT"/>
        </w:rPr>
        <w:t>Máscaras descartáveis que estarão disponíveis para os funcionários ou estudantes.</w:t>
      </w:r>
    </w:p>
    <w:p w14:paraId="15E91C2C" w14:textId="77777777" w:rsidR="00A40931" w:rsidRDefault="00AE1ABB" w:rsidP="00620F5A">
      <w:pPr>
        <w:numPr>
          <w:ilvl w:val="0"/>
          <w:numId w:val="3"/>
        </w:numPr>
        <w:spacing w:line="276" w:lineRule="auto"/>
        <w:jc w:val="both"/>
        <w:rPr>
          <w:sz w:val="22"/>
          <w:szCs w:val="22"/>
        </w:rPr>
      </w:pPr>
      <w:r>
        <w:rPr>
          <w:sz w:val="22"/>
          <w:lang w:bidi="pt-PT"/>
        </w:rPr>
        <w:t>Álcool em gel para todas as salas de aulas, escritórios e espaços compartilhados onde pias ou estrutura para lavar as mãos não estejam disponíveis.</w:t>
      </w:r>
    </w:p>
    <w:p w14:paraId="2AEA73DD" w14:textId="77777777" w:rsidR="00A40931" w:rsidRDefault="00AE1ABB" w:rsidP="00620F5A">
      <w:pPr>
        <w:numPr>
          <w:ilvl w:val="0"/>
          <w:numId w:val="3"/>
        </w:numPr>
        <w:spacing w:line="276" w:lineRule="auto"/>
        <w:jc w:val="both"/>
        <w:rPr>
          <w:sz w:val="22"/>
          <w:szCs w:val="22"/>
        </w:rPr>
      </w:pPr>
      <w:r>
        <w:rPr>
          <w:sz w:val="22"/>
          <w:lang w:bidi="pt-PT"/>
        </w:rPr>
        <w:t>Desinfetante em spray ou lenço umedecido para todas as salas de aula, escritórios e espaços compartilhados.</w:t>
      </w:r>
    </w:p>
    <w:p w14:paraId="7F6BC1BE" w14:textId="77777777" w:rsidR="00A40931" w:rsidRDefault="00AE1ABB" w:rsidP="00620F5A">
      <w:pPr>
        <w:numPr>
          <w:ilvl w:val="0"/>
          <w:numId w:val="3"/>
        </w:numPr>
        <w:spacing w:line="276" w:lineRule="auto"/>
        <w:jc w:val="both"/>
        <w:rPr>
          <w:sz w:val="22"/>
          <w:szCs w:val="22"/>
        </w:rPr>
      </w:pPr>
      <w:r>
        <w:rPr>
          <w:sz w:val="22"/>
          <w:lang w:bidi="pt-PT"/>
        </w:rPr>
        <w:t>Vestimenta e luvas para as enfermeiras da escola.</w:t>
      </w:r>
    </w:p>
    <w:p w14:paraId="63F49BC5" w14:textId="77777777" w:rsidR="00A40931" w:rsidRDefault="00A40931">
      <w:pPr>
        <w:rPr>
          <w:sz w:val="22"/>
          <w:szCs w:val="22"/>
        </w:rPr>
      </w:pPr>
    </w:p>
    <w:p w14:paraId="3A08B73F" w14:textId="77777777" w:rsidR="00A40931" w:rsidRDefault="00AE1ABB" w:rsidP="00620F5A">
      <w:pPr>
        <w:jc w:val="both"/>
        <w:rPr>
          <w:sz w:val="22"/>
          <w:szCs w:val="22"/>
          <w:highlight w:val="yellow"/>
        </w:rPr>
      </w:pPr>
      <w:r>
        <w:rPr>
          <w:sz w:val="22"/>
          <w:lang w:bidi="pt-PT"/>
        </w:rPr>
        <w:lastRenderedPageBreak/>
        <w:t>As escolas receberão o fornecimento do mencionado acima para todas as salas de aula, com reposição ao longo do ano. Funcionários devem entrar em contato com a diretoria ou supervisão caso algum EPI adicional seja necessário, o qual será reposto a partir do almoxarifado central.</w:t>
      </w:r>
    </w:p>
    <w:p w14:paraId="7B6ACE30" w14:textId="77777777" w:rsidR="00A40931" w:rsidRDefault="00A40931" w:rsidP="00620F5A">
      <w:pPr>
        <w:jc w:val="both"/>
        <w:rPr>
          <w:sz w:val="22"/>
          <w:szCs w:val="22"/>
        </w:rPr>
      </w:pPr>
    </w:p>
    <w:p w14:paraId="4B7513A1" w14:textId="77777777" w:rsidR="00A40931" w:rsidRDefault="00AE1ABB" w:rsidP="00620F5A">
      <w:pPr>
        <w:jc w:val="both"/>
        <w:rPr>
          <w:sz w:val="22"/>
          <w:szCs w:val="22"/>
        </w:rPr>
      </w:pPr>
      <w:r>
        <w:rPr>
          <w:sz w:val="22"/>
          <w:lang w:bidi="pt-PT"/>
        </w:rPr>
        <w:t xml:space="preserve">Se qualquer funcionário estiver imunocomprometido, ele/ela pode desejar consultar um médico sobre qualquer EPI adicional.  Em caso de contato próximo com alguém, ou se você é a pessoa em tratamento, com suspeita ou com COVID-19 confirmado, o EPI recomendado é a máscara N95, ou a máscara facial caso a N95 não esteja disponível, óculos de proteção ou face shield, luvas e vestimenta. </w:t>
      </w:r>
    </w:p>
    <w:p w14:paraId="657EDBA1" w14:textId="77777777" w:rsidR="00A40931" w:rsidRDefault="00A40931"/>
    <w:p w14:paraId="4EBCAF04" w14:textId="77777777" w:rsidR="00A40931" w:rsidRDefault="00AE1ABB">
      <w:pPr>
        <w:pStyle w:val="Heading1"/>
      </w:pPr>
      <w:bookmarkStart w:id="10" w:name="_Toc113279898"/>
      <w:r>
        <w:rPr>
          <w:lang w:bidi="pt-PT"/>
        </w:rPr>
        <w:t>H. Ventilação</w:t>
      </w:r>
      <w:bookmarkEnd w:id="10"/>
    </w:p>
    <w:p w14:paraId="37930C23" w14:textId="77777777" w:rsidR="00A40931" w:rsidRDefault="00A40931">
      <w:pPr>
        <w:jc w:val="both"/>
        <w:rPr>
          <w:sz w:val="22"/>
          <w:szCs w:val="22"/>
        </w:rPr>
      </w:pPr>
    </w:p>
    <w:p w14:paraId="1F4572D5" w14:textId="77777777" w:rsidR="00A40931" w:rsidRDefault="00AE1ABB" w:rsidP="00620F5A">
      <w:pPr>
        <w:jc w:val="both"/>
        <w:rPr>
          <w:sz w:val="22"/>
          <w:szCs w:val="22"/>
        </w:rPr>
      </w:pPr>
      <w:r>
        <w:rPr>
          <w:sz w:val="22"/>
          <w:lang w:bidi="pt-PT"/>
        </w:rPr>
        <w:t xml:space="preserve">Para ajudar a ventilação durante a pandemia de COVID-19, todas as salas de aula são equipadas com purificadores de ar que utilizam filtros MERV13, que atendem ou superam as recomendações dos CDC com relação à renovação de ar por hora (ACH). Toda escola terá um provisionamento adequado para reposição dos filtros do equipamento purificador de ar; os zeladores da escola trocarão o filtro quando necessário. Os purificadores de ar serão localizados a pelo menos 2 pés da parede e deverão estar ligados na função máxima. </w:t>
      </w:r>
    </w:p>
    <w:p w14:paraId="4653203B" w14:textId="77777777" w:rsidR="00A40931" w:rsidRDefault="00A40931" w:rsidP="00620F5A">
      <w:pPr>
        <w:jc w:val="both"/>
        <w:rPr>
          <w:sz w:val="22"/>
          <w:szCs w:val="22"/>
        </w:rPr>
      </w:pPr>
    </w:p>
    <w:p w14:paraId="7E0862E1" w14:textId="77777777" w:rsidR="00A40931" w:rsidRDefault="00AE1ABB" w:rsidP="00620F5A">
      <w:pPr>
        <w:jc w:val="both"/>
        <w:rPr>
          <w:sz w:val="22"/>
          <w:szCs w:val="22"/>
        </w:rPr>
      </w:pPr>
      <w:r>
        <w:rPr>
          <w:sz w:val="22"/>
          <w:lang w:bidi="pt-PT"/>
        </w:rPr>
        <w:t>Abrir janelas e portas, quando o clima permitir, ajuda a melhorar a ventilação e reduzir a transmissão viral. A ventilação cruzada é ideal e pode ser obtida ao colocar ventiladores nas janelas ou combinados com portas e janelas abertas. A ventilação melhora a cada polegada coberta pela abertura de uma janela. O uso de purificadores de ar e portas ou janelas abertas para aumentar a ventilação permitirá a melhoria máxima na ventilação da sala de aula.</w:t>
      </w:r>
    </w:p>
    <w:p w14:paraId="22C63DB6" w14:textId="77777777" w:rsidR="00A40931" w:rsidRDefault="00A40931"/>
    <w:p w14:paraId="2A3A3F38" w14:textId="77777777" w:rsidR="00A40931" w:rsidRDefault="00AE1ABB">
      <w:pPr>
        <w:pStyle w:val="Heading1"/>
      </w:pPr>
      <w:bookmarkStart w:id="11" w:name="_Toc113279899"/>
      <w:r>
        <w:rPr>
          <w:lang w:bidi="pt-PT"/>
        </w:rPr>
        <w:t>I. Regras para Alunos ou Funcionários Doentes</w:t>
      </w:r>
      <w:bookmarkEnd w:id="11"/>
    </w:p>
    <w:p w14:paraId="1798017E" w14:textId="77777777" w:rsidR="00A40931" w:rsidRDefault="00A40931">
      <w:pPr>
        <w:rPr>
          <w:sz w:val="22"/>
          <w:szCs w:val="22"/>
        </w:rPr>
      </w:pPr>
    </w:p>
    <w:p w14:paraId="3D7DF074" w14:textId="77777777" w:rsidR="00A40931" w:rsidRDefault="00AE1ABB" w:rsidP="00620F5A">
      <w:pPr>
        <w:jc w:val="both"/>
      </w:pPr>
      <w:r>
        <w:rPr>
          <w:sz w:val="22"/>
          <w:lang w:bidi="pt-PT"/>
        </w:rPr>
        <w:t xml:space="preserve">Estudantes e funcionários que estejam doentes ou tenham os sintomas indicativos de um provável caso de COVID-19 devem ficar em casa, entrar em contato com um profissional da saúde e fazer o teste. </w:t>
      </w:r>
    </w:p>
    <w:p w14:paraId="237E5607" w14:textId="77777777" w:rsidR="00A40931" w:rsidRDefault="00A40931" w:rsidP="00620F5A">
      <w:pPr>
        <w:pStyle w:val="Heading2"/>
      </w:pPr>
      <w:bookmarkStart w:id="12" w:name="_c6uwa6sjdvv8" w:colFirst="0" w:colLast="0"/>
      <w:bookmarkEnd w:id="12"/>
    </w:p>
    <w:p w14:paraId="40B713C0" w14:textId="77777777" w:rsidR="00A40931" w:rsidRDefault="00AE1ABB" w:rsidP="00620F5A">
      <w:pPr>
        <w:pStyle w:val="Heading2"/>
      </w:pPr>
      <w:bookmarkStart w:id="13" w:name="_Toc113279900"/>
      <w:r>
        <w:rPr>
          <w:lang w:bidi="pt-PT"/>
        </w:rPr>
        <w:t>1. Indivíduos com sintomas</w:t>
      </w:r>
      <w:bookmarkEnd w:id="13"/>
    </w:p>
    <w:p w14:paraId="4A7D71FC" w14:textId="77777777" w:rsidR="00A40931" w:rsidRDefault="00AE1ABB" w:rsidP="00620F5A">
      <w:pPr>
        <w:jc w:val="both"/>
        <w:rPr>
          <w:sz w:val="22"/>
          <w:szCs w:val="22"/>
        </w:rPr>
      </w:pPr>
      <w:r>
        <w:rPr>
          <w:sz w:val="22"/>
          <w:lang w:bidi="pt-PT"/>
        </w:rPr>
        <w:t>Se um estudante ou funcionário estiver doente e for um provável caso de COVID-19, ele ou ela não deve vir à escola, nem trabalhar e deve fazer o teste. Se o estudante ou funcionário testar positivo, ele ou ela deve entrar em contato com a enfermeira da escola; além disso, funcionários do escritório central também devem entrar em contato com Donna O’Connor (</w:t>
      </w:r>
      <w:hyperlink r:id="rId14">
        <w:r>
          <w:rPr>
            <w:color w:val="1155CC"/>
            <w:sz w:val="22"/>
            <w:u w:val="single"/>
            <w:lang w:bidi="pt-PT"/>
          </w:rPr>
          <w:t>donna.oconnor@ppsd.org</w:t>
        </w:r>
      </w:hyperlink>
      <w:r>
        <w:rPr>
          <w:sz w:val="22"/>
          <w:lang w:bidi="pt-PT"/>
        </w:rPr>
        <w:t>).</w:t>
      </w:r>
    </w:p>
    <w:p w14:paraId="498AA417" w14:textId="77777777" w:rsidR="00A40931" w:rsidRDefault="00A40931" w:rsidP="00620F5A">
      <w:pPr>
        <w:jc w:val="both"/>
        <w:rPr>
          <w:sz w:val="22"/>
          <w:szCs w:val="22"/>
        </w:rPr>
      </w:pPr>
    </w:p>
    <w:p w14:paraId="66C5F47F" w14:textId="77777777" w:rsidR="00A40931" w:rsidRDefault="00AE1ABB" w:rsidP="00620F5A">
      <w:pPr>
        <w:jc w:val="both"/>
        <w:rPr>
          <w:sz w:val="22"/>
          <w:szCs w:val="22"/>
        </w:rPr>
      </w:pPr>
      <w:r>
        <w:rPr>
          <w:sz w:val="22"/>
          <w:lang w:bidi="pt-PT"/>
        </w:rPr>
        <w:t>Se um aluno demonstrar sintomas de COVID-19 que indicam um provável caso no espaço da escola, o aluno deve ser levado a um espaço isolado no edifício e deve receber uma máscara. Se um funcionário exibir sintomas de COVID-19, ele ou ela deve notificar seu supervisor e ser liberado do trabalho naquele dia, antes de realizar o teste. Alunos e funcionários devem fazer um teste com a enfermeira da escola.</w:t>
      </w:r>
    </w:p>
    <w:p w14:paraId="5341ACCA" w14:textId="77777777" w:rsidR="00A40931" w:rsidRDefault="00A40931" w:rsidP="00620F5A">
      <w:pPr>
        <w:jc w:val="both"/>
      </w:pPr>
    </w:p>
    <w:p w14:paraId="198E9681" w14:textId="77777777" w:rsidR="00A40931" w:rsidRDefault="00AE1ABB" w:rsidP="00620F5A">
      <w:pPr>
        <w:pStyle w:val="Heading2"/>
      </w:pPr>
      <w:bookmarkStart w:id="14" w:name="_Toc113279901"/>
      <w:r>
        <w:rPr>
          <w:lang w:bidi="pt-PT"/>
        </w:rPr>
        <w:t>2. Indivíduos que testarem positivo para COVID-19</w:t>
      </w:r>
      <w:bookmarkEnd w:id="14"/>
    </w:p>
    <w:p w14:paraId="0E309388" w14:textId="77777777" w:rsidR="00A40931" w:rsidRDefault="00AE1ABB" w:rsidP="00620F5A">
      <w:pPr>
        <w:jc w:val="both"/>
        <w:rPr>
          <w:sz w:val="22"/>
          <w:szCs w:val="22"/>
        </w:rPr>
      </w:pPr>
      <w:r>
        <w:rPr>
          <w:sz w:val="22"/>
          <w:lang w:bidi="pt-PT"/>
        </w:rPr>
        <w:t>Qualquer um que testar positivo para COVID-19, independente da sua situação de vacinação, deve ficar em casa e se isolar por ao menos 5 dias. Somente após isso podem:</w:t>
      </w:r>
    </w:p>
    <w:p w14:paraId="78987283" w14:textId="77777777" w:rsidR="00A40931" w:rsidRDefault="00AE1ABB" w:rsidP="00620F5A">
      <w:pPr>
        <w:numPr>
          <w:ilvl w:val="0"/>
          <w:numId w:val="1"/>
        </w:numPr>
        <w:jc w:val="both"/>
        <w:rPr>
          <w:sz w:val="22"/>
          <w:szCs w:val="22"/>
        </w:rPr>
      </w:pPr>
      <w:r>
        <w:rPr>
          <w:sz w:val="22"/>
          <w:lang w:bidi="pt-PT"/>
        </w:rPr>
        <w:lastRenderedPageBreak/>
        <w:t>Retornar à escola no sexto dia se não tiverem sintomas ou se demonstrarem melhoras nos sintomas e não tiverem tido febre nos nas últimas 24 horas (sem o uso de medicamento antitérmico). A pessoa deve usar uma máscara bem ajustada ao rosto por outros 5 dias na escola, em casa e na companhia de outras pessoas; ou</w:t>
      </w:r>
    </w:p>
    <w:p w14:paraId="0B6E0EF1" w14:textId="77777777" w:rsidR="00A40931" w:rsidRDefault="00AE1ABB" w:rsidP="00620F5A">
      <w:pPr>
        <w:numPr>
          <w:ilvl w:val="0"/>
          <w:numId w:val="1"/>
        </w:numPr>
        <w:jc w:val="both"/>
        <w:rPr>
          <w:sz w:val="22"/>
          <w:szCs w:val="22"/>
        </w:rPr>
      </w:pPr>
      <w:r>
        <w:rPr>
          <w:sz w:val="22"/>
          <w:lang w:bidi="pt-PT"/>
        </w:rPr>
        <w:t>isolar-se em casa até que os sintomas melhorem e a pessoa não tenha tido febre por 24 horas seguidas (sem o uso de medicamento antitérmico). A pessoa deve usar uma máscara bem ajustada ao rosto na escola e em casa pelos 10 dias seguintes após o fim dos sintomas ou após a data de exame, caso seja assintomático.</w:t>
      </w:r>
    </w:p>
    <w:p w14:paraId="183FF710" w14:textId="77777777" w:rsidR="00A40931" w:rsidRDefault="00A40931" w:rsidP="00620F5A">
      <w:pPr>
        <w:jc w:val="both"/>
        <w:rPr>
          <w:sz w:val="22"/>
          <w:szCs w:val="22"/>
        </w:rPr>
      </w:pPr>
    </w:p>
    <w:p w14:paraId="68F5ED89" w14:textId="77777777" w:rsidR="00A40931" w:rsidRDefault="00AE1ABB" w:rsidP="00620F5A">
      <w:pPr>
        <w:pStyle w:val="Heading2"/>
      </w:pPr>
      <w:bookmarkStart w:id="15" w:name="_Toc113279902"/>
      <w:r>
        <w:rPr>
          <w:lang w:bidi="pt-PT"/>
        </w:rPr>
        <w:t>3. Indivíduos expostos ao COVID-19</w:t>
      </w:r>
      <w:bookmarkEnd w:id="15"/>
    </w:p>
    <w:p w14:paraId="3DA6A0F9" w14:textId="77777777" w:rsidR="00A40931" w:rsidRDefault="00AE1ABB" w:rsidP="00620F5A">
      <w:pPr>
        <w:jc w:val="both"/>
        <w:rPr>
          <w:sz w:val="22"/>
          <w:szCs w:val="22"/>
        </w:rPr>
      </w:pPr>
      <w:r>
        <w:rPr>
          <w:sz w:val="22"/>
          <w:lang w:bidi="pt-PT"/>
        </w:rPr>
        <w:t>alunos e funcionários sem sintomas, que tiverem sido expostos ao COVID-19, independente da situação de vacina, devem:</w:t>
      </w:r>
    </w:p>
    <w:p w14:paraId="3C7A4221" w14:textId="77777777" w:rsidR="00A40931" w:rsidRDefault="00AE1ABB" w:rsidP="00620F5A">
      <w:pPr>
        <w:numPr>
          <w:ilvl w:val="0"/>
          <w:numId w:val="2"/>
        </w:numPr>
        <w:jc w:val="both"/>
        <w:rPr>
          <w:sz w:val="22"/>
          <w:szCs w:val="22"/>
        </w:rPr>
      </w:pPr>
      <w:r>
        <w:rPr>
          <w:sz w:val="22"/>
          <w:lang w:bidi="pt-PT"/>
        </w:rPr>
        <w:t>Monitorar os seus próprios sintomas por 5 dias e</w:t>
      </w:r>
    </w:p>
    <w:p w14:paraId="3947C561" w14:textId="77777777" w:rsidR="00A40931" w:rsidRDefault="00AE1ABB" w:rsidP="00620F5A">
      <w:pPr>
        <w:numPr>
          <w:ilvl w:val="0"/>
          <w:numId w:val="2"/>
        </w:numPr>
        <w:jc w:val="both"/>
        <w:rPr>
          <w:sz w:val="22"/>
          <w:szCs w:val="22"/>
        </w:rPr>
      </w:pPr>
      <w:r>
        <w:rPr>
          <w:sz w:val="22"/>
          <w:lang w:bidi="pt-PT"/>
        </w:rPr>
        <w:t>Usar uma máscara bem ajustada ao rosto por 10 dias.</w:t>
      </w:r>
    </w:p>
    <w:p w14:paraId="116BE877" w14:textId="77777777" w:rsidR="00A40931" w:rsidRDefault="00A40931" w:rsidP="00620F5A">
      <w:pPr>
        <w:jc w:val="both"/>
        <w:rPr>
          <w:sz w:val="22"/>
          <w:szCs w:val="22"/>
          <w:highlight w:val="yellow"/>
        </w:rPr>
      </w:pPr>
    </w:p>
    <w:p w14:paraId="73C1E8FB" w14:textId="77777777" w:rsidR="00A40931" w:rsidRDefault="00A40931"/>
    <w:p w14:paraId="7113D786" w14:textId="77777777" w:rsidR="00A40931" w:rsidRDefault="00AE1ABB">
      <w:pPr>
        <w:pStyle w:val="Heading1"/>
      </w:pPr>
      <w:bookmarkStart w:id="16" w:name="_Toc113279903"/>
      <w:r>
        <w:rPr>
          <w:lang w:bidi="pt-PT"/>
        </w:rPr>
        <w:t>J. Testes na Escola</w:t>
      </w:r>
      <w:bookmarkEnd w:id="16"/>
    </w:p>
    <w:p w14:paraId="214010B7" w14:textId="77777777" w:rsidR="00A40931" w:rsidRDefault="00A40931">
      <w:pPr>
        <w:jc w:val="both"/>
        <w:rPr>
          <w:sz w:val="22"/>
          <w:szCs w:val="22"/>
        </w:rPr>
      </w:pPr>
    </w:p>
    <w:p w14:paraId="31CDF8A6" w14:textId="77777777" w:rsidR="00A40931" w:rsidRDefault="00AE1ABB" w:rsidP="00620F5A">
      <w:pPr>
        <w:jc w:val="both"/>
      </w:pPr>
      <w:r>
        <w:rPr>
          <w:sz w:val="22"/>
          <w:lang w:bidi="pt-PT"/>
        </w:rPr>
        <w:t>Alunos com menos de 15 anos de idade devem preencher um formulário de consentimento tanto para o teste sintomático quanto assintomático. Estudantes que tiverem um formulário de consentimento arquivado do ano letivo anterior não precisam enviar um novo formulário para esse ano letivo. Qualquer pai ou responsável que desejar revogar o consentimento ao teste, deve fazê-lo entrando em contato com a enfermeira da escola.</w:t>
      </w:r>
    </w:p>
    <w:p w14:paraId="45C8CCAD" w14:textId="77777777" w:rsidR="00A40931" w:rsidRDefault="00A40931" w:rsidP="00620F5A">
      <w:pPr>
        <w:pStyle w:val="Heading2"/>
      </w:pPr>
      <w:bookmarkStart w:id="17" w:name="_7je2bfw6yzuw" w:colFirst="0" w:colLast="0"/>
      <w:bookmarkEnd w:id="17"/>
    </w:p>
    <w:p w14:paraId="4360D08E" w14:textId="77777777" w:rsidR="00A40931" w:rsidRDefault="00AE1ABB" w:rsidP="00620F5A">
      <w:pPr>
        <w:pStyle w:val="Heading2"/>
      </w:pPr>
      <w:bookmarkStart w:id="18" w:name="_Toc113279904"/>
      <w:r>
        <w:rPr>
          <w:lang w:bidi="pt-PT"/>
        </w:rPr>
        <w:t>1. Teste para assintomáticos</w:t>
      </w:r>
      <w:bookmarkEnd w:id="18"/>
    </w:p>
    <w:p w14:paraId="742DAAE7" w14:textId="77777777" w:rsidR="00A40931" w:rsidRDefault="00AE1ABB" w:rsidP="00620F5A">
      <w:pPr>
        <w:jc w:val="both"/>
        <w:rPr>
          <w:sz w:val="22"/>
          <w:szCs w:val="22"/>
        </w:rPr>
      </w:pPr>
      <w:r>
        <w:rPr>
          <w:sz w:val="22"/>
          <w:lang w:bidi="pt-PT"/>
        </w:rPr>
        <w:t xml:space="preserve">Durante as primeiros quatro semanas de escola, após as férias escolares e após o município de Providence ter entrado no status de «alto nível comunitário de COVID-19», as escolas do DEPP oferecerão testes semanais para estudantes e funcionários assintomáticos de maneira voluntária. </w:t>
      </w:r>
    </w:p>
    <w:p w14:paraId="17025F86" w14:textId="77777777" w:rsidR="00A40931" w:rsidRDefault="00AE1ABB" w:rsidP="00620F5A">
      <w:pPr>
        <w:jc w:val="both"/>
        <w:rPr>
          <w:sz w:val="22"/>
          <w:szCs w:val="22"/>
        </w:rPr>
      </w:pPr>
      <w:r>
        <w:rPr>
          <w:sz w:val="22"/>
          <w:lang w:bidi="pt-PT"/>
        </w:rPr>
        <w:t xml:space="preserve"> </w:t>
      </w:r>
    </w:p>
    <w:p w14:paraId="5117580B" w14:textId="77777777" w:rsidR="00A40931" w:rsidRDefault="00AE1ABB" w:rsidP="00620F5A">
      <w:pPr>
        <w:pStyle w:val="Heading2"/>
      </w:pPr>
      <w:bookmarkStart w:id="19" w:name="_Toc113279905"/>
      <w:r>
        <w:rPr>
          <w:lang w:bidi="pt-PT"/>
        </w:rPr>
        <w:t>2. Testes para sintomáticos</w:t>
      </w:r>
      <w:bookmarkEnd w:id="19"/>
    </w:p>
    <w:p w14:paraId="079978F6" w14:textId="77777777" w:rsidR="00A40931" w:rsidRDefault="00AE1ABB" w:rsidP="00620F5A">
      <w:pPr>
        <w:jc w:val="both"/>
        <w:rPr>
          <w:sz w:val="22"/>
          <w:szCs w:val="22"/>
        </w:rPr>
      </w:pPr>
      <w:r>
        <w:rPr>
          <w:sz w:val="22"/>
          <w:lang w:bidi="pt-PT"/>
        </w:rPr>
        <w:t>Além dos testes para assintomáticos, as enfermeiras terão um suprimento de testes caso um aluno ou funcionário apresente sintomas durante o dia ou se vários casos positivos na escola necessitarem o teste adicional para indivíduos assintomáticos.</w:t>
      </w:r>
    </w:p>
    <w:p w14:paraId="25C23C7A" w14:textId="77777777" w:rsidR="00A40931" w:rsidRDefault="00A40931">
      <w:pPr>
        <w:rPr>
          <w:sz w:val="22"/>
          <w:szCs w:val="22"/>
        </w:rPr>
      </w:pPr>
    </w:p>
    <w:p w14:paraId="2796D642" w14:textId="77777777" w:rsidR="00A40931" w:rsidRDefault="00AE1ABB">
      <w:pPr>
        <w:pStyle w:val="Heading1"/>
      </w:pPr>
      <w:bookmarkStart w:id="20" w:name="_Toc113279906"/>
      <w:r>
        <w:rPr>
          <w:lang w:bidi="pt-PT"/>
        </w:rPr>
        <w:t>K. Promoção de Vacinação</w:t>
      </w:r>
      <w:bookmarkEnd w:id="20"/>
    </w:p>
    <w:p w14:paraId="60A675D2" w14:textId="77777777" w:rsidR="00A40931" w:rsidRDefault="00A40931">
      <w:pPr>
        <w:rPr>
          <w:sz w:val="22"/>
          <w:szCs w:val="22"/>
        </w:rPr>
      </w:pPr>
    </w:p>
    <w:p w14:paraId="6D02DCF1" w14:textId="77777777" w:rsidR="00A40931" w:rsidRDefault="00AE1ABB" w:rsidP="00620F5A">
      <w:pPr>
        <w:jc w:val="both"/>
        <w:rPr>
          <w:sz w:val="22"/>
          <w:szCs w:val="22"/>
        </w:rPr>
      </w:pPr>
      <w:r>
        <w:rPr>
          <w:sz w:val="22"/>
          <w:lang w:bidi="pt-PT"/>
        </w:rPr>
        <w:t>A vacinação continua sendo a estratégia mais poderosa para manter alunos e famílias saudáveis e para que os estudantes possam aprender e se e participar de atividades extracurriculares presencialmente. Encontre mais informações em C19vaccineRI.org. RIDOH encoraja firmemente que todos os alunos funcionários e famílias elegíveis se vacinem e tomem as doses complementares.</w:t>
      </w:r>
    </w:p>
    <w:p w14:paraId="21E2F9B8" w14:textId="77777777" w:rsidR="00A40931" w:rsidRDefault="00A40931" w:rsidP="00620F5A">
      <w:pPr>
        <w:jc w:val="both"/>
        <w:rPr>
          <w:sz w:val="22"/>
          <w:szCs w:val="22"/>
        </w:rPr>
      </w:pPr>
    </w:p>
    <w:p w14:paraId="1B92DE8A" w14:textId="77777777" w:rsidR="00A40931" w:rsidRDefault="00AE1ABB" w:rsidP="00620F5A">
      <w:pPr>
        <w:pStyle w:val="Heading1"/>
      </w:pPr>
      <w:bookmarkStart w:id="21" w:name="_Toc113279907"/>
      <w:r>
        <w:rPr>
          <w:lang w:bidi="pt-PT"/>
        </w:rPr>
        <w:t>L. Informativos</w:t>
      </w:r>
      <w:bookmarkEnd w:id="21"/>
    </w:p>
    <w:p w14:paraId="6C700DAD" w14:textId="77777777" w:rsidR="00A40931" w:rsidRDefault="00A40931" w:rsidP="00620F5A">
      <w:pPr>
        <w:jc w:val="both"/>
        <w:rPr>
          <w:sz w:val="22"/>
          <w:szCs w:val="22"/>
        </w:rPr>
      </w:pPr>
    </w:p>
    <w:p w14:paraId="21C992DF" w14:textId="77777777" w:rsidR="00A40931" w:rsidRDefault="00AE1ABB" w:rsidP="00620F5A">
      <w:pPr>
        <w:jc w:val="both"/>
        <w:rPr>
          <w:sz w:val="22"/>
          <w:szCs w:val="22"/>
        </w:rPr>
      </w:pPr>
      <w:r>
        <w:rPr>
          <w:sz w:val="22"/>
          <w:lang w:bidi="pt-PT"/>
        </w:rPr>
        <w:t>As escolas notificarão as famílias em caso de exposição potencial ao COVID-19.</w:t>
      </w:r>
    </w:p>
    <w:sectPr w:rsidR="00A40931">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7BFC9" w14:textId="77777777" w:rsidR="00447570" w:rsidRDefault="00447570">
      <w:r>
        <w:separator/>
      </w:r>
    </w:p>
  </w:endnote>
  <w:endnote w:type="continuationSeparator" w:id="0">
    <w:p w14:paraId="5FA2A7BD" w14:textId="77777777" w:rsidR="00447570" w:rsidRDefault="0044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3202" w14:textId="77777777" w:rsidR="00A40931" w:rsidRDefault="00A40931">
    <w:pPr>
      <w:pBdr>
        <w:top w:val="nil"/>
        <w:left w:val="nil"/>
        <w:bottom w:val="nil"/>
        <w:right w:val="nil"/>
        <w:between w:val="nil"/>
      </w:pBdr>
      <w:tabs>
        <w:tab w:val="center" w:pos="4680"/>
        <w:tab w:val="right" w:pos="9360"/>
      </w:tabs>
      <w:jc w:val="center"/>
      <w:rPr>
        <w:color w:val="000000"/>
      </w:rPr>
    </w:pPr>
  </w:p>
  <w:p w14:paraId="53C9384A" w14:textId="77777777" w:rsidR="00A40931" w:rsidRDefault="00AE1ABB">
    <w:pPr>
      <w:pBdr>
        <w:top w:val="nil"/>
        <w:left w:val="nil"/>
        <w:bottom w:val="nil"/>
        <w:right w:val="nil"/>
        <w:between w:val="nil"/>
      </w:pBdr>
      <w:tabs>
        <w:tab w:val="center" w:pos="4680"/>
        <w:tab w:val="right" w:pos="9360"/>
      </w:tabs>
      <w:rPr>
        <w:color w:val="000000"/>
      </w:rPr>
    </w:pPr>
    <w:r>
      <w:rPr>
        <w:lang w:bidi="pt-PT"/>
      </w:rPr>
      <w:fldChar w:fldCharType="begin"/>
    </w:r>
    <w:r>
      <w:rPr>
        <w:lang w:bidi="pt-PT"/>
      </w:rPr>
      <w:instrText>PAGE</w:instrText>
    </w:r>
    <w:r>
      <w:rPr>
        <w:lang w:bidi="pt-P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D726" w14:textId="31A82B0C" w:rsidR="00A40931" w:rsidRDefault="00AE1ABB">
    <w:pPr>
      <w:pBdr>
        <w:top w:val="nil"/>
        <w:left w:val="nil"/>
        <w:bottom w:val="nil"/>
        <w:right w:val="nil"/>
        <w:between w:val="nil"/>
      </w:pBdr>
      <w:tabs>
        <w:tab w:val="center" w:pos="4680"/>
        <w:tab w:val="right" w:pos="9360"/>
      </w:tabs>
      <w:jc w:val="center"/>
      <w:rPr>
        <w:color w:val="000000"/>
        <w:sz w:val="22"/>
        <w:szCs w:val="22"/>
      </w:rPr>
    </w:pPr>
    <w:r>
      <w:rPr>
        <w:sz w:val="22"/>
        <w:lang w:bidi="pt-PT"/>
      </w:rPr>
      <w:fldChar w:fldCharType="begin"/>
    </w:r>
    <w:r>
      <w:rPr>
        <w:sz w:val="22"/>
        <w:lang w:bidi="pt-PT"/>
      </w:rPr>
      <w:instrText>PAGE</w:instrText>
    </w:r>
    <w:r>
      <w:rPr>
        <w:sz w:val="22"/>
        <w:lang w:bidi="pt-PT"/>
      </w:rPr>
      <w:fldChar w:fldCharType="separate"/>
    </w:r>
    <w:r>
      <w:rPr>
        <w:noProof/>
        <w:sz w:val="22"/>
        <w:lang w:bidi="pt-PT"/>
      </w:rPr>
      <w:t>1</w:t>
    </w:r>
    <w:r>
      <w:rPr>
        <w:sz w:val="22"/>
        <w:lang w:bidi="pt-PT"/>
      </w:rPr>
      <w:fldChar w:fldCharType="end"/>
    </w:r>
  </w:p>
  <w:p w14:paraId="46FA94BC" w14:textId="6A2CE939" w:rsidR="00A40931" w:rsidRDefault="00620F5A" w:rsidP="00620F5A">
    <w:pPr>
      <w:tabs>
        <w:tab w:val="center" w:pos="4680"/>
        <w:tab w:val="right" w:pos="9360"/>
      </w:tabs>
      <w:rPr>
        <w:sz w:val="22"/>
        <w:szCs w:val="22"/>
      </w:rPr>
    </w:pPr>
    <w:r w:rsidRPr="00620F5A">
      <w:rPr>
        <w:sz w:val="22"/>
        <w:lang w:bidi="pt-PT"/>
      </w:rPr>
      <w:t>Última atualização: 31 de agosto de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A5700" w14:textId="77777777" w:rsidR="00447570" w:rsidRDefault="00447570">
      <w:r>
        <w:separator/>
      </w:r>
    </w:p>
  </w:footnote>
  <w:footnote w:type="continuationSeparator" w:id="0">
    <w:p w14:paraId="69E4540E" w14:textId="77777777" w:rsidR="00447570" w:rsidRDefault="0044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204" w14:textId="77777777" w:rsidR="00A40931" w:rsidRDefault="00A40931">
    <w:pPr>
      <w:pBdr>
        <w:top w:val="nil"/>
        <w:left w:val="nil"/>
        <w:bottom w:val="nil"/>
        <w:right w:val="nil"/>
        <w:between w:val="nil"/>
      </w:pBdr>
      <w:tabs>
        <w:tab w:val="center" w:pos="4680"/>
        <w:tab w:val="right" w:pos="9360"/>
      </w:tabs>
      <w:jc w:val="center"/>
      <w:rPr>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64E25"/>
    <w:multiLevelType w:val="multilevel"/>
    <w:tmpl w:val="41C0D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09744D"/>
    <w:multiLevelType w:val="multilevel"/>
    <w:tmpl w:val="244A8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50173"/>
    <w:multiLevelType w:val="multilevel"/>
    <w:tmpl w:val="831EA1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257D44"/>
    <w:multiLevelType w:val="multilevel"/>
    <w:tmpl w:val="FF1E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9716877">
    <w:abstractNumId w:val="1"/>
  </w:num>
  <w:num w:numId="2" w16cid:durableId="1183126884">
    <w:abstractNumId w:val="0"/>
  </w:num>
  <w:num w:numId="3" w16cid:durableId="1004550561">
    <w:abstractNumId w:val="3"/>
  </w:num>
  <w:num w:numId="4" w16cid:durableId="1630355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31"/>
    <w:rsid w:val="00447570"/>
    <w:rsid w:val="005A6D6A"/>
    <w:rsid w:val="00620F5A"/>
    <w:rsid w:val="009705B3"/>
    <w:rsid w:val="00A40931"/>
    <w:rsid w:val="00AE1ABB"/>
    <w:rsid w:val="00C6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4083"/>
  <w15:docId w15:val="{15C311BB-68DC-46C2-890A-737C66F4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12" w:space="1" w:color="000000"/>
      </w:pBdr>
      <w:jc w:val="both"/>
      <w:outlineLvl w:val="0"/>
    </w:pPr>
    <w:rPr>
      <w:b/>
      <w:color w:val="1D5284"/>
      <w:sz w:val="22"/>
      <w:szCs w:val="22"/>
    </w:rPr>
  </w:style>
  <w:style w:type="paragraph" w:styleId="Heading2">
    <w:name w:val="heading 2"/>
    <w:basedOn w:val="Normal"/>
    <w:next w:val="Normal"/>
    <w:uiPriority w:val="9"/>
    <w:unhideWhenUsed/>
    <w:qFormat/>
    <w:pPr>
      <w:jc w:val="both"/>
      <w:outlineLvl w:val="1"/>
    </w:pPr>
    <w:rPr>
      <w:b/>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OC1">
    <w:name w:val="toc 1"/>
    <w:basedOn w:val="Normal"/>
    <w:next w:val="Normal"/>
    <w:autoRedefine/>
    <w:uiPriority w:val="39"/>
    <w:unhideWhenUsed/>
    <w:rsid w:val="00C60869"/>
    <w:pPr>
      <w:tabs>
        <w:tab w:val="right" w:pos="8900"/>
      </w:tabs>
      <w:spacing w:after="100"/>
    </w:pPr>
    <w:rPr>
      <w:noProof/>
      <w:lang w:bidi="pt-PT"/>
    </w:rPr>
  </w:style>
  <w:style w:type="paragraph" w:styleId="TOC2">
    <w:name w:val="toc 2"/>
    <w:basedOn w:val="Normal"/>
    <w:next w:val="Normal"/>
    <w:autoRedefine/>
    <w:uiPriority w:val="39"/>
    <w:unhideWhenUsed/>
    <w:rsid w:val="00C60869"/>
    <w:pPr>
      <w:spacing w:after="100"/>
      <w:ind w:left="240"/>
    </w:pPr>
  </w:style>
  <w:style w:type="character" w:styleId="Hyperlink">
    <w:name w:val="Hyperlink"/>
    <w:basedOn w:val="DefaultParagraphFont"/>
    <w:uiPriority w:val="99"/>
    <w:unhideWhenUsed/>
    <w:rsid w:val="00C60869"/>
    <w:rPr>
      <w:color w:val="0000FF" w:themeColor="hyperlink"/>
      <w:u w:val="single"/>
    </w:rPr>
  </w:style>
  <w:style w:type="paragraph" w:styleId="Header">
    <w:name w:val="header"/>
    <w:basedOn w:val="Normal"/>
    <w:link w:val="HeaderChar"/>
    <w:uiPriority w:val="99"/>
    <w:unhideWhenUsed/>
    <w:rsid w:val="00620F5A"/>
    <w:pPr>
      <w:tabs>
        <w:tab w:val="center" w:pos="4680"/>
        <w:tab w:val="right" w:pos="9360"/>
      </w:tabs>
    </w:pPr>
  </w:style>
  <w:style w:type="character" w:customStyle="1" w:styleId="HeaderChar">
    <w:name w:val="Header Char"/>
    <w:basedOn w:val="DefaultParagraphFont"/>
    <w:link w:val="Header"/>
    <w:uiPriority w:val="99"/>
    <w:rsid w:val="00620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aymond.Lambert@ppsd.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dc.gov/coronavirus/2019-ncov/community/schools-childcare/k-12-childcare-guidanc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ri.gov/publications/guidance/Outbreak-Response-Protocols-Pre-K-1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onna.oconnor@pp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Alicia Herrera</cp:lastModifiedBy>
  <cp:revision>5</cp:revision>
  <dcterms:created xsi:type="dcterms:W3CDTF">2022-09-05T14:10:00Z</dcterms:created>
  <dcterms:modified xsi:type="dcterms:W3CDTF">2022-09-05T18:23:00Z</dcterms:modified>
</cp:coreProperties>
</file>